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Sulu Celebes Sea model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Sulu-Celebes Sea, LME_037; Sea Around Us target boundary.</w:t>
            </w:r>
            <w: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Sea Around Us v50.1, 1950–2019. Reference: 2019 landings, including reported and unreported retained catch; discards separate.</w:t>
            </w:r>
            <w:r>
              <w:t xml:space="preserve"> </w:t>
            </w:r>
            <w:hyperlink r:id="rId10">
              <w:r>
                <w:rPr>
                  <w:color w:val="0563C1"/>
                  <w:u w:val="single"/>
                </w:rPr>
                <w:t>Raw catch</w:t>
              </w:r>
            </w:hyperlink>
            <w:r>
              <w:t xml:space="preserve"> | </w:t>
            </w:r>
            <w:hyperlink r:id="rId11">
              <w:r>
                <w:rPr>
                  <w:color w:val="0563C1"/>
                  <w:u w:val="single"/>
                </w:rPr>
                <w:t>Taxon and TL source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Bacalso, Wolff, Romagnoni &amp; Fujitani (2026), Ecological and economic perspectives of two decades of change in a traditional fishing ground in the Philippines. Ocean &amp; Coastal Management 273, 108027; DOI 10.1016/j.ocecoaman.2025.108027. Online 2025; journal 2026.</w:t>
            </w:r>
            <w:r>
              <w:t xml:space="preserve"> </w:t>
            </w:r>
            <w:hyperlink r:id="rId12">
              <w:r>
                <w:rPr>
                  <w:color w:val="0563C1"/>
                  <w:u w:val="single"/>
                </w:rPr>
                <w:t>Main paper</w:t>
              </w:r>
            </w:hyperlink>
            <w:r>
              <w:t xml:space="preserve"> | </w:t>
            </w:r>
            <w:hyperlink r:id="rId13">
              <w:r>
                <w:rPr>
                  <w:color w:val="0563C1"/>
                  <w:u w:val="single"/>
                </w:rPr>
                <w:t>Supplement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Bacalso et al. (2023), Frontiers in Marine Science, DOI 10.3389/fmars.2023.1099400, is the verified baseline predecessor. Its official supplement supplies the 1997 diet and catch lineage; it is not an independent alternative model substituted here.</w:t>
            </w:r>
            <w:r>
              <w:t xml:space="preserve"> </w:t>
            </w:r>
            <w:hyperlink r:id="rId14">
              <w:r>
                <w:rPr>
                  <w:color w:val="0563C1"/>
                  <w:u w:val="single"/>
                </w:rPr>
                <w:t>Predecessor</w:t>
              </w:r>
            </w:hyperlink>
            <w:r>
              <w:t xml:space="preserve"> | </w:t>
            </w:r>
            <w:hyperlink r:id="rId15">
              <w:r>
                <w:rPr>
                  <w:color w:val="0563C1"/>
                  <w:u w:val="single"/>
                </w:rPr>
                <w:t>Official supplement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Bacalso2026_Visayan_Sea_1997_baseline; 1997 Visayan Sea municipal and commercial waters, 16,728.5 km². 33 ecological source groups plus synthetic diet_import 34. Local study transferred to the 1,013,866 km² Sulu-Celebes target.</w:t>
            </w:r>
            <w:r>
              <w:t xml:space="preserve"> </w:t>
            </w:r>
            <w:hyperlink r:id="rId16">
              <w:r>
                <w:rPr>
                  <w:color w:val="0563C1"/>
                  <w:u w:val="single"/>
                </w:rPr>
                <w:t>Selected JSON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The paper compares the 1997 baseline with a 2018 Ecosim endpoint. The endpoint lacks its realized diet/flow, catch and accumulation export and has censored group 15 biomass; it remains unselected and NOT_RUN. Stage pairs are already components of the baseline, not additional model versions.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Article: ? (separate article-choice rationale unrecorded). Model: selected under the instruction to select all top-25 regions except LME_048 and EEZ_938. Available baseline uses verified 2023 diet/catch lineage and matching 2026 parameter cells; spatial suitability and production admission remain unresolved. The 2018 endpoint remains NOT_RUN.</w:t>
            </w:r>
            <w:r>
              <w:t xml:space="preserve"> </w:t>
            </w:r>
            <w:hyperlink r:id="rId17">
              <w:r>
                <w:rPr>
                  <w:color w:val="0563C1"/>
                  <w:u w:val="single"/>
                </w:rPr>
                <w:t>Recorded rationale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All 191 populated 2026 Table 1 cells match accepted full-area parameters after the documented reef conversion. Diet/catch lineage matches the 2023 supplement. Accepted diet sums and unknown fields remain; runtime uses GS 0.2, living accumulation/import/migration 0, DC tolerance 0.0021 without normalization, and single-detritus routing. Detritus EE 0.44→1 and derived accumulation remain accounting assumptions.</w:t>
            </w:r>
            <w:r>
              <w:t xml:space="preserve"> </w:t>
            </w:r>
            <w:hyperlink r:id="rId18">
              <w:r>
                <w:rPr>
                  <w:color w:val="0563C1"/>
                  <w:u w:val="single"/>
                </w:rPr>
                <w:t>Source review</w:t>
              </w:r>
            </w:hyperlink>
            <w:r>
              <w:t xml:space="preserve"> | </w:t>
            </w:r>
            <w:hyperlink r:id="rId19">
              <w:r>
                <w:rPr>
                  <w:color w:val="0563C1"/>
                  <w:u w:val="single"/>
                </w:rPr>
                <w:t>Cell comparison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rPr>
          <w:rFonts w:ascii="Calibri" w:hAnsi="Calibri"/>
          <w:sz w:val="2"/>
          <w:color w:val="000000"/>
        </w:rP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entries in any basal-source column, including unfished groups. rho_living=0.65909091; b=0.23206068; Detritus (33) SPPR=1.73940243.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entries in any basal-source column, including unfished groups. rho_living=0.69377990; Detritus (33) SPPR=0.41749368.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Approximate A: 1–2% of the region covered by the study. B: 90–100% of the study inside the region.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Static 1997 coefficients and source catch proportions are transferred across 1950–2019. Reference 2019 is 22 years later. Supplementary membership/length traits mainly use 2004, 2009 and 2014 surveys; they do not supply observed baseline stage caught-mass shares.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GE, TE and With Egestion remain WARN, with strict input and budget balance false. TE Seabirds (1) is near singular; its largest coefficient is unfished in this catch universe. Full mapping retains local-model, fleet, habitat and catch-basis assumptions; it does not establish whole-LME suitability.</w:t>
            </w:r>
            <w:r>
              <w:t xml:space="preserve"> </w:t>
            </w:r>
            <w:hyperlink r:id="rId20">
              <w:r>
                <w:rPr>
                  <w:color w:val="0563C1"/>
                  <w:u w:val="single"/>
                </w:rPr>
                <w:t>All source entries</w:t>
              </w:r>
            </w:hyperlink>
            <w:r>
              <w:t xml:space="preserve"> | </w:t>
            </w:r>
            <w:hyperlink r:id="rId21">
              <w:r>
                <w:rPr>
                  <w:color w:val="0563C1"/>
                  <w:u w:val="single"/>
                </w:rPr>
                <w:t>Method exposure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t>Reference: 2019 landings; all exact catch labels, including unidentified and zero-catch records; no taxon or group filter.</w:t>
      </w:r>
    </w:p>
    <w:p>
      <w:pPr>
        <w:keepNext w:val="0"/>
        <w:pageBreakBefore w:val="0"/>
        <w:spacing w:after="120"/>
      </w:pPr>
      <w:r>
        <w:t>33 ecological source groups (+1 computational import); 250 catch labels.</w:t>
      </w:r>
    </w:p>
    <w:p>
      <w:pPr>
        <w:keepNext w:val="0"/>
        <w:pageBreakBefore w:val="0"/>
        <w:spacing w:after="120"/>
      </w:pPr>
      <w:r>
        <w:t>Simple-chain PPR totals 108,985,038.35 t C in 2019.</w:t>
      </w:r>
    </w:p>
    <w:p>
      <w:pPr>
        <w:keepNext w:val="0"/>
        <w:pageBreakBefore w:val="0"/>
        <w:spacing w:after="120"/>
      </w:pPr>
      <w:r>
        <w:t>31 labels lack a saved classic coefficient/TL; all have zero 2019 landings and zero annual PPR. Unavailable TL remains ?, not zero.</w:t>
      </w:r>
    </w:p>
    <w:p>
      <w:pPr>
        <w:keepNext w:val="0"/>
        <w:pageBreakBefore w:val="0"/>
        <w:spacing w:after="120"/>
      </w:pPr>
      <w:r>
        <w:t>Method: independent classic/simple trophic chain using the saved taxon coefficient and a single carbon conversion.</w:t>
      </w:r>
    </w:p>
    <w:p>
      <w:pPr>
        <w:keepNext w:val="0"/>
        <w:pageBreakBefore w:val="0"/>
        <w:spacing w:after="120"/>
      </w:pPr>
      <w:hyperlink r:id="rId22">
        <w:r>
          <w:rPr>
            <w:color w:val="0563C1"/>
            <w:u w:val="single"/>
          </w:rPr>
          <w:t>Full taxon mapping appendix</w:t>
        </w:r>
      </w:hyperlink>
      <w:r>
        <w:t xml:space="preserve"> and </w:t>
      </w:r>
      <w:hyperlink r:id="rId23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97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23.3553%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31.7800%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79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41.1208%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30.9968%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0.2951%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0.9206%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72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35.2287%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36.3027%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Exact source member in the applicable group or stage pair.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44.4011%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Closest source analogue; habitat, diet, size or taxonomy differs.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30.1348%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Unlisted taxon extends documented source representatives.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9.1804%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Broad reporting label uses a compatible pool mixture of unknown composition.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6.1679%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Verified taxon fits the explicit source compartment uniquely.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5.8842%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Verified synonym connects the catch label to a source member.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1.8763%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Actual members support an inferred family or stage candidate set.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0.9603%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Young coastal shark pool partly represents the broader family/genus.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0.9206%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Habitat and feeding ecology extend an incomplete source boundary.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0.4745%</w:t>
            </w:r>
          </w:p>
        </w:tc>
      </w:tr>
    </w:tbl>
    <w:p>
      <w:pPr>
        <w:keepNext w:val="0"/>
        <w:pageBreakBefore w:val="0"/>
        <w:spacing w:after="120"/>
      </w:pPr>
      <w:r>
        <w:t xml:space="preserve">Membership evidence: </w:t>
      </w:r>
      <w:hyperlink r:id="rId24">
        <w:r>
          <w:rPr>
            <w:color w:val="0563C1"/>
            <w:u w:val="single"/>
          </w:rPr>
          <w:t>source Table S3 baseline crosswalk</w:t>
        </w:r>
      </w:hyperlink>
      <w:r>
        <w:t xml:space="preserve"> and </w:t>
      </w:r>
      <w:hyperlink r:id="rId25">
        <w:r>
          <w:rPr>
            <w:color w:val="0563C1"/>
            <w:u w:val="single"/>
          </w:rPr>
          <w:t>all taxon decisions</w:t>
        </w:r>
      </w:hyperlink>
      <w:r>
        <w:t>. Mixed families and pelagic members are reviewed. Residual bony labels exclude dedicated cartilage.</w:t>
      </w:r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Complete 1997 source group-catch proportions proxy the target mixture; fixed across years and bases.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58.6225%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One reviewed source group; no numerical split.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41.3775%</w:t>
            </w:r>
          </w:p>
        </w:tc>
      </w:tr>
    </w:tbl>
    <w:p>
      <w:pPr>
        <w:keepNext w:val="0"/>
        <w:pageBreakBefore w:val="0"/>
        <w:spacing w:after="120"/>
      </w:pPr>
      <w:r>
        <w:t xml:space="preserve">Overall confidence is the weaker membership/allocation component. All 96 split labels use complete published 1997 group-catch proportions at Medium confidence, including genuine zero candidates. Whole-guild species/stage, temporal, geographic, fleet and basis mixtures are assumptions. No applicable observed target stage fractions were found; traits are not mass shares. </w:t>
      </w:r>
      <w:hyperlink r:id="rId26">
        <w:r>
          <w:rPr>
            <w:color w:val="0563C1"/>
            <w:u w:val="single"/>
          </w:rPr>
          <w:t>Allocation evidence</w:t>
        </w:r>
      </w:hyperlink>
    </w:p>
    <w:p>
      <w:pPr>
        <w:keepNext w:val="0"/>
        <w:pageBreakBefore w:val="0"/>
        <w:spacing w:after="120"/>
      </w:pPr>
      <w:r>
        <w:t xml:space="preserve">No unresolved taxa remain. Very low: 72 labels, 35.2287% of landings and 36.3027% of classic PPR. Broad residual mixtures, oceanic sharks/tunas/billfishes, bathyal fish, brackish/surface-feeding analogues and uncertain invertebrate families are named in the linked appendix. Their actual all-source contributions are 39.11% of GE, 37.95% of TE and 38.32% of With Egestion PPR. These conditional estimates retain the diagnostic and geographic limits. </w:t>
      </w:r>
      <w:hyperlink r:id="rId21">
        <w:r>
          <w:rPr>
            <w:color w:val="0563C1"/>
            <w:u w:val="single"/>
          </w:rPr>
          <w:t>Method-specific contributions</w:t>
        </w:r>
      </w:hyperlink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t>R is the full Sulu-Celebes target. S includes commercial and all 33 municipal waters, inside and outside Visayan Sea proper, as explicitly defined in 2023 §2.1 (PDF 2). The 2026 §2.2 baseline reuse supports this extent; its dashed map is indicative. Native 2023 boundaries use the 2026 graticule and a consistent land mask. Nine water controls test the approximate trace; ranges are not statistical intervals.</w:t>
      </w:r>
    </w:p>
    <w:p>
      <w:pPr>
        <w:pStyle w:val="Heading2"/>
        <w:keepNext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Sulu Celebes Sea target region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72000" cy="381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_regio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Sea Around Us LME 37 target R: 1,013,866 km². </w:t>
      </w:r>
      <w:r>
        <w:t xml:space="preserve"> </w:t>
      </w:r>
      <w:hyperlink r:id="rId29">
        <w:r>
          <w:rPr>
            <w:color w:val="0563C1"/>
            <w:u w:val="single"/>
          </w:rPr>
          <w:t>Target boundary</w:t>
        </w:r>
      </w:hyperlink>
      <w:r>
        <w:t xml:space="preserve"> | </w:t>
      </w:r>
      <w:hyperlink r:id="rId30">
        <w:r>
          <w:rPr>
            <w:color w:val="0563C1"/>
            <w:u w:val="single"/>
          </w:rPr>
          <w:t>Map image</w:t>
        </w:r>
      </w:hyperlink>
    </w:p>
    <w:p>
      <w:pPr>
        <w:pStyle w:val="Heading2"/>
        <w:keepNext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Original Visayan baseline study area Figure 1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251960" cy="439074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iginal_2023_figure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43907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Bacalso et al. 2023 Figure 1, PDF 3. Light green is inside-domain municipal water; dark green is outside-domain municipal water. Both plus commercial waters form the 16,728.5 km² baseline under §2.1 (PDF 2); the narrower sea proper is 12,521.8 km². </w:t>
      </w:r>
      <w:r>
        <w:t xml:space="preserve"> </w:t>
      </w:r>
      <w:hyperlink r:id="rId31">
        <w:r>
          <w:rPr>
            <w:color w:val="0563C1"/>
            <w:u w:val="single"/>
          </w:rPr>
          <w:t>Baseline extent definition</w:t>
        </w:r>
      </w:hyperlink>
      <w:r>
        <w:t xml:space="preserve"> | </w:t>
      </w:r>
      <w:hyperlink r:id="rId32">
        <w:r>
          <w:rPr>
            <w:color w:val="0563C1"/>
            <w:u w:val="single"/>
          </w:rPr>
          <w:t>Original figure</w:t>
        </w:r>
      </w:hyperlink>
      <w:r>
        <w:t xml:space="preserve"> | </w:t>
      </w:r>
      <w:hyperlink r:id="rId33">
        <w:r>
          <w:rPr>
            <w:color w:val="0563C1"/>
            <w:u w:val="single"/>
          </w:rPr>
          <w:t>2026 indicative map</w:t>
        </w:r>
      </w:hyperlink>
      <w:r>
        <w:t xml:space="preserve"> | </w:t>
      </w:r>
      <w:hyperlink r:id="rId34">
        <w:r>
          <w:rPr>
            <w:color w:val="0563C1"/>
            <w:u w:val="single"/>
          </w:rPr>
          <w:t>Geographic assessment</w:t>
        </w:r>
      </w:hyperlink>
    </w:p>
    <w:p>
      <w:pPr>
        <w:pageBreakBefore/>
        <w:spacing w:after="40" w:before="0" w:line="240" w:lineRule="auto"/>
      </w:pPr>
      <w:r>
        <w:t xml:space="preserve">Approximate comparison: reconstructed marine study area 16,457 km²; A≈1.59%, B≈98.05%. Coarse report ranges 1–2% and 90–100% reflect outline, coastline and registration uncertainty. Ordered coastlines and real offshore bends are retained; annotation holes are not water exclusions. </w:t>
      </w:r>
      <w:hyperlink r:id="rId35">
        <w:r>
          <w:rPr>
            <w:color w:val="0563C1"/>
            <w:u w:val="single"/>
          </w:rPr>
          <w:t>Reconstructed polygon</w:t>
        </w:r>
      </w:hyperlink>
      <w:r>
        <w:br/>
      </w:r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Relationship Id="rId9" Type="http://schemas.openxmlformats.org/officeDocument/2006/relationships/hyperlink" Target="LME_037.xlsx" TargetMode="External"/><Relationship Id="rId10" Type="http://schemas.openxmlformats.org/officeDocument/2006/relationships/hyperlink" Target="raw/LME_037-catch.zip" TargetMode="External"/><Relationship Id="rId11" Type="http://schemas.openxmlformats.org/officeDocument/2006/relationships/hyperlink" Target="raw/LME_037-exploited.json" TargetMode="External"/><Relationship Id="rId12" Type="http://schemas.openxmlformats.org/officeDocument/2006/relationships/hyperlink" Target="papers/LME037-Bacalso-2026/Bacalso-c0d09ef6.pdf#page=5" TargetMode="External"/><Relationship Id="rId13" Type="http://schemas.openxmlformats.org/officeDocument/2006/relationships/hyperlink" Target="papers/LME037-Bacalso-2026/1-s2.0-S0964569125004909-mmc1-f97c887e.pdf#page=8" TargetMode="External"/><Relationship Id="rId14" Type="http://schemas.openxmlformats.org/officeDocument/2006/relationships/hyperlink" Target="papers/LME037-Bacalso-2026/recovered_sources_20260928/Bacalso2023_fmars_1099400.pdf" TargetMode="External"/><Relationship Id="rId15" Type="http://schemas.openxmlformats.org/officeDocument/2006/relationships/hyperlink" Target="papers/LME037-Bacalso-2026/recovered_sources_20260928/Bacalso2023_DataSheet_1.docx" TargetMode="External"/><Relationship Id="rId16" Type="http://schemas.openxmlformats.org/officeDocument/2006/relationships/hyperlink" Target="models/Bacalso2026_Visayan_Sea_1997_baseline/model.json" TargetMode="External"/><Relationship Id="rId17" Type="http://schemas.openxmlformats.org/officeDocument/2006/relationships/hyperlink" Target="LME_037.xlsx#Overview%21A1" TargetMode="External"/><Relationship Id="rId18" Type="http://schemas.openxmlformats.org/officeDocument/2006/relationships/hyperlink" Target="validation_reports/Bacalso2026_Visayan_Sea_1997_baseline/source_review.md" TargetMode="External"/><Relationship Id="rId19" Type="http://schemas.openxmlformats.org/officeDocument/2006/relationships/hyperlink" Target="validation_reports/Bacalso2026_Visayan_Sea_1997_baseline/source_parameter_cell_review.json" TargetMode="External"/><Relationship Id="rId20" Type="http://schemas.openxmlformats.org/officeDocument/2006/relationships/hyperlink" Target="validation_reports/Bacalso2026_Visayan_Sea_1997_baseline/matrix_inspection.json" TargetMode="External"/><Relationship Id="rId21" Type="http://schemas.openxmlformats.org/officeDocument/2006/relationships/hyperlink" Target="validation_reports/Bacalso2026_Visayan_Sea_1997_baseline/method_contribution_exposure.json" TargetMode="External"/><Relationship Id="rId22" Type="http://schemas.openxmlformats.org/officeDocument/2006/relationships/hyperlink" Target="LME037_taxon_mapping_appendix.xlsx" TargetMode="External"/><Relationship Id="rId23" Type="http://schemas.openxmlformats.org/officeDocument/2006/relationships/hyperlink" Target="LME037_taxon_mapping_appendix.xlsx#Sources%21A1" TargetMode="External"/><Relationship Id="rId24" Type="http://schemas.openxmlformats.org/officeDocument/2006/relationships/hyperlink" Target="validation_reports/Bacalso2026_Visayan_Sea_1997_baseline/supplement_membership_crosswalk.json" TargetMode="External"/><Relationship Id="rId25" Type="http://schemas.openxmlformats.org/officeDocument/2006/relationships/hyperlink" Target="validation_reports/Bacalso2026_Visayan_Sea_1997_baseline/taxon_audit.json" TargetMode="External"/><Relationship Id="rId26" Type="http://schemas.openxmlformats.org/officeDocument/2006/relationships/hyperlink" Target="validation_reports/Bacalso2026_Visayan_Sea_1997_baseline/allocation_evidence.json" TargetMode="External"/><Relationship Id="rId27" Type="http://schemas.openxmlformats.org/officeDocument/2006/relationships/image" Target="media/image1.png"/><Relationship Id="rId28" Type="http://schemas.openxmlformats.org/officeDocument/2006/relationships/image" Target="media/image2.png"/><Relationship Id="rId29" Type="http://schemas.openxmlformats.org/officeDocument/2006/relationships/hyperlink" Target="validation_reports/Bacalso2026_Visayan_Sea_1997_baseline/geography/target_region.geojson" TargetMode="External"/><Relationship Id="rId30" Type="http://schemas.openxmlformats.org/officeDocument/2006/relationships/hyperlink" Target="validation_reports/Bacalso2026_Visayan_Sea_1997_baseline/geography/target_region.png" TargetMode="External"/><Relationship Id="rId31" Type="http://schemas.openxmlformats.org/officeDocument/2006/relationships/hyperlink" Target="papers/LME037-Bacalso-2026/recovered_sources_20260928/Bacalso2023_fmars_1099400.pdf#page=2" TargetMode="External"/><Relationship Id="rId32" Type="http://schemas.openxmlformats.org/officeDocument/2006/relationships/hyperlink" Target="papers/LME037-Bacalso-2026/recovered_sources_20260928/Bacalso2023_fmars_1099400.pdf#page=3" TargetMode="External"/><Relationship Id="rId33" Type="http://schemas.openxmlformats.org/officeDocument/2006/relationships/hyperlink" Target="papers/LME037-Bacalso-2026/Bacalso-c0d09ef6.pdf#page=3" TargetMode="External"/><Relationship Id="rId34" Type="http://schemas.openxmlformats.org/officeDocument/2006/relationships/hyperlink" Target="validation_reports/Bacalso2026_Visayan_Sea_1997_baseline/geography/geographic_assessment.json" TargetMode="External"/><Relationship Id="rId35" Type="http://schemas.openxmlformats.org/officeDocument/2006/relationships/hyperlink" Target="validation_reports/Bacalso2026_Visayan_Sea_1997_baseline/geography/study_area_reconstructed.geojson" TargetMode="External"/><Relationship Id="rId3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