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Sea regional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Indonesian Sea, LME_038. The source Java Sea domain is subregional.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 50.1,1950–2019 original catch. Reference:2019 landings; all 181 exact labels, including zero catch and residual categories.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Buchary, E.A.(1999). Evaluating the effect of the 1980 trawl ban in the Java Sea, Indonesia: An ecosystem-based approach. MSc thesis, University of British Columbia. Local main PDF verified; inherited BUCHARY-1991 folder is an alias.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Original thesis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Source review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Zainuri &amp; Endrawati(1999):115 ha Awur Bay, a local 12-component model. Nurhakim(2003):27-group 1979 north Central Java survey model; printed diet defects prevent strict admission. Both are subregional alternatives.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Awur Bay source</w:t>
              </w:r>
            </w:hyperlink>
            <w:r>
              <w:t xml:space="preserve"> | </w:t>
            </w:r>
            <w:hyperlink r:id="rId14">
              <w:r>
                <w:rPr>
                  <w:color w:val="0563C1"/>
                  <w:u w:val="single"/>
                </w:rPr>
                <w:t>North Central Java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38_38003_Java_Sea_normalized_BA_completed_(mid1970s). Static mid 1970s (1974–1976 catch context);28 source groups plus one computational import. Reported Java Sea area 471000 km².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Accepted selected model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Variant provenance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thesis contains one documented mid 1970s static baseline and Ecosim trawl-ban simulations. A second complete, independently verified static parameter/diet model was not identified; dynamic scenarios are not separate static baselines.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— ?</w:t>
              <w:br/>
              <w:t>Model — User-selected best available Java Sea derived variant. Full-LME and multi-decadal transfer remain provisional; source fidelity, warnings and applicability are assessed separately.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Source Tables 3.1,3.9,3.10 and parameter prose reviewed. Accepted Macrozoobenthos diet 0.660→1 proportional normalization and 28 signed computational BA completions are retained. BA is not measured biomass change. Canonical bytes, loaded biological inputs and source catches remain unchanged.</w:t>
            </w:r>
            <w:r>
              <w:t xml:space="preserve"> </w:t>
            </w:r>
            <w:hyperlink r:id="rId12">
              <w:r>
                <w:rPr>
                  <w:color w:val="0563C1"/>
                  <w:u w:val="single"/>
                </w:rPr>
                <w:t>Source/derived differences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Loaded-state proof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t>Regional review completed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OK retained. rho_living=0.40177283; b=0.24546092; Detritus(28) SPPR=1.31494772.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WARN retained. rho_living=0.62129934; b=0.00000000; Detritus(28) SPPR=0.77389867. Marine mammals have near-zero transfer efficiency; finite results remain provisional.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A. Target fraction covered by study: approximately 19–22%.</w:t>
              <w:br/>
              <w:t>B. Study fraction within target: approximately 99–100%.</w:t>
              <w:br/>
              <w:t>Low geographic confidence: approximate prose-bound reconstruction with two eastern scenarios; no explicit source study polygon.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mid 1970s coefficients and fixed source-catch/donor weights are applied across 1950–2019 whole-LME landings, catch and discards. Reference 2019 is about 44 years later. The source guild populations and historical trawl bycatch differ from modern recorded fisheries.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 is OK under accepted thresholds. All 348 entries in the three direct 29×4 source matrices are finite/nonnegative, including unfished groups. GE/Egestion threshold grades do not establish ecological validity. Historical method-specific failures/warnings remain. Mixed bony/cartilage source pools and assumed composition limit coarse labels.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matrices and warnings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Reference:2019 landings; all exact labels, including zero catch and residual categories; no group filter.</w:t>
      </w:r>
    </w:p>
    <w:p>
      <w:pPr>
        <w:keepNext w:val="0"/>
        <w:pageBreakBefore w:val="0"/>
        <w:spacing w:after="120"/>
      </w:pPr>
      <w:r>
        <w:t>28 source groups(+1 computational import);181 catch taxa.</w:t>
      </w:r>
    </w:p>
    <w:p>
      <w:pPr>
        <w:keepNext w:val="0"/>
        <w:pageBreakBefore w:val="0"/>
        <w:spacing w:after="120"/>
      </w:pPr>
      <w:r>
        <w:t>Simple-chain PPR totals 177,164,712.36 t C in 2019.</w:t>
      </w:r>
    </w:p>
    <w:p>
      <w:pPr>
        <w:keepNext w:val="0"/>
        <w:pageBreakBefore w:val="0"/>
        <w:spacing w:after="120"/>
      </w:pPr>
      <w:r>
        <w:t>39 labels lack a classic coefficient; all have zero 2019 catch and zero annual contribution. Unavailable TL/coefficient stays ?, with no invented value.</w:t>
      </w:r>
    </w:p>
    <w:p>
      <w:pPr>
        <w:keepNext w:val="0"/>
        <w:pageBreakBefore w:val="0"/>
        <w:spacing w:after="120"/>
      </w:pPr>
      <w:r>
        <w:t>Method: protected independent simple trophic-chain coefficients; wet coefficient×catch/9 once.</w:t>
      </w:r>
    </w:p>
    <w:p>
      <w:pPr>
        <w:keepNext w:val="0"/>
        <w:pageBreakBefore w:val="0"/>
        <w:spacing w:after="120"/>
      </w:pPr>
      <w:hyperlink r:id="rId18">
        <w:r>
          <w:rPr>
            <w:color w:val="0563C1"/>
            <w:u w:val="single"/>
          </w:rPr>
          <w:t>All 181 taxon mappings</w:t>
        </w:r>
      </w:hyperlink>
      <w:r>
        <w:t xml:space="preserve"> and </w:t>
      </w:r>
      <w:hyperlink r:id="rId19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33.9189%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29.0730%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75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32.9581%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48.5117%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2.1288%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2.7273%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30.9943%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19.6880%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source taxon/family criterion supports the particular taxon.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58.2144%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Assumed complete source-containing family or stage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11.5475%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represented analogue with material habitat/taxonomic mismatches.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11.0682%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to represented source members.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10.3928%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across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8.6198%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 name or spelling bridge.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0.1520%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 or competing source ecological/size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0.0053%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0">
        <w:r>
          <w:rPr>
            <w:color w:val="0563C1"/>
            <w:u w:val="single"/>
          </w:rPr>
          <w:t>source Table3.1</w:t>
        </w:r>
      </w:hyperlink>
      <w:r>
        <w:t xml:space="preserve">, </w:t>
      </w:r>
      <w:hyperlink r:id="rId21">
        <w:r>
          <w:rPr>
            <w:color w:val="0563C1"/>
            <w:u w:val="single"/>
          </w:rPr>
          <w:t>habitat/size rule</w:t>
        </w:r>
      </w:hyperlink>
      <w:r>
        <w:t xml:space="preserve">, </w:t>
      </w:r>
      <w:hyperlink r:id="rId22">
        <w:r>
          <w:rPr>
            <w:color w:val="0563C1"/>
            <w:u w:val="single"/>
          </w:rPr>
          <w:t>native FAO support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all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printed source Harvest proportions, including genuine zeros.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48.8099%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source group receives 100%;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48.4430%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identified-catch donor proportions; population/basis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2.7471%</w:t>
            </w:r>
          </w:p>
        </w:tc>
      </w:tr>
    </w:tbl>
    <w:p>
      <w:pPr>
        <w:keepNext w:val="0"/>
        <w:pageBreakBefore w:val="0"/>
        <w:spacing w:after="120"/>
      </w:pPr>
      <w:r>
        <w:t xml:space="preserve">Percentages are each rule’s share of simple-chain PPR. Complete Harvest includes genuine zero stages. Juvenile shrimp 0.008 and juvenile large demersals 0.066 are author assumptions. Living bottom structure catch is 10×SAF assumed trawl bycatch and supplies 71.43% of the generic-invertebrate allocation. Retained donor fractions use all eligible identified direct/stage donors, with no same-family restriction; mismatch remains Low. Compatible measured stage-mass partitions were not located. </w:t>
      </w:r>
      <w:hyperlink r:id="rId24">
        <w:r>
          <w:rPr>
            <w:color w:val="0563C1"/>
            <w:u w:val="single"/>
          </w:rPr>
          <w:t>Allocation evidence</w:t>
        </w:r>
      </w:hyperlink>
    </w:p>
    <w:p>
      <w:pPr>
        <w:keepNext w:val="0"/>
        <w:pageBreakBefore w:val="0"/>
        <w:spacing w:after="120"/>
      </w:pPr>
      <w:r>
        <w:t xml:space="preserve">Unresolved: none. Very low: 36 labels contribute 30.9943% of landings and 19.6880% of simple-chain PPR. Broad bony fish/invertebrate pools and unlisted billfish, sharks, tarpon, catfish, flatfish and deep-water taxa use explicit approximations. Mixed-source pools retain non-target members. Very low all-source model PPR shares: GE 33.35%; TE 49.58%; With Egestion 32.20%. Broad marine fish alone supplies 30.07%of TE; Lates calcarifer analogy 18.58%. </w:t>
      </w:r>
      <w:hyperlink r:id="rId25">
        <w:r>
          <w:rPr>
            <w:color w:val="0563C1"/>
            <w:u w:val="single"/>
          </w:rPr>
          <w:t>Method-specific exposure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full Sea Around Us Indonesian Sea LME. S reconstructs the thesis’s approximate 3°S–6°50′S,105°50′E–116°30′/117°30′E prose bounds, removing land consistently. Figure 2.1 supplies bathymetry and provincial context; it has no explicit study polygon. A/B are approximate regional-extent estimates.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Indonesian Sea target and two source-bound scenarios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086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R:2,267,636 km². Reconstructed water areas:441114/488277 km²; intersections:439052/486216 km². A≈19–22%, B≈99–100%. Source-reported 471000 km² is separate context. All seven stated water/land controls pass. </w:t>
      </w:r>
      <w:r>
        <w:t xml:space="preserve">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Approximate bounds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Original source Figure 2.1: Java Sea geography and bathymetry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5311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2_1_landscap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531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Original PDF 30/printed 21, rotated for readability. Its graticule and bordering provinces inform the reconstruction; source latitude bounds can truncate local coast-following water. Natural Earth 1:50 million land removal is generalized. Two eastern bounds express source ambiguity, not statistical confidence intervals. No geographic multiplier is applied. </w:t>
      </w:r>
      <w:r>
        <w:t xml:space="preserve"> </w:t>
      </w:r>
      <w:hyperlink r:id="rId30">
        <w:r>
          <w:rPr>
            <w:color w:val="0563C1"/>
            <w:u w:val="single"/>
          </w:rPr>
          <w:t>Original figure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Areas and limits</w:t>
        </w:r>
      </w:hyperlink>
    </w:p>
    <w:p>
      <w:pPr>
        <w:pageBreakBefore/>
        <w:spacing w:after="40" w:before="0" w:line="240" w:lineRule="auto"/>
      </w:pPr>
      <w:r>
        <w:t>Original Table 3.1, PDF 58/printed 49: source biological groups and representative taxa. The family summary does not exhaust modern taxonomic membership.</w:t>
      </w:r>
      <w:r>
        <w:drawing>
          <wp:inline xmlns:a="http://schemas.openxmlformats.org/drawingml/2006/main" xmlns:pic="http://schemas.openxmlformats.org/drawingml/2006/picture">
            <wp:extent cx="4572000" cy="5914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pdf_page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46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38.xlsx" TargetMode="External"/><Relationship Id="rId10" Type="http://schemas.openxmlformats.org/officeDocument/2006/relationships/hyperlink" Target="raw/LME_038-catch.zip" TargetMode="External"/><Relationship Id="rId11" Type="http://schemas.openxmlformats.org/officeDocument/2006/relationships/hyperlink" Target="papers/BUCHARY-1991/ubc_1999-0254.pdf.pdf" TargetMode="External"/><Relationship Id="rId12" Type="http://schemas.openxmlformats.org/officeDocument/2006/relationships/hyperlink" Target="validation_reports/38_38003_Java_Sea_normalized_BA_completed_%28mid1970s%29/source_review.md" TargetMode="External"/><Relationship Id="rId13" Type="http://schemas.openxmlformats.org/officeDocument/2006/relationships/hyperlink" Target="papers/LME038-Zainuri-1999/4895-c62b530d.pdf" TargetMode="External"/><Relationship Id="rId14" Type="http://schemas.openxmlformats.org/officeDocument/2006/relationships/hyperlink" Target="papers/LME038-Nurhakim-2003/content-ce43630c.pdf" TargetMode="External"/><Relationship Id="rId15" Type="http://schemas.openxmlformats.org/officeDocument/2006/relationships/hyperlink" Target="models/38_38003_Java_Sea_normalized_BA_completed_%28mid1970s%29/model.json" TargetMode="External"/><Relationship Id="rId16" Type="http://schemas.openxmlformats.org/officeDocument/2006/relationships/hyperlink" Target="models/38_38003_Java_Sea_normalized_BA_completed_%28mid1970s%29/SELECTED_MODEL_REPORT.md" TargetMode="External"/><Relationship Id="rId17" Type="http://schemas.openxmlformats.org/officeDocument/2006/relationships/hyperlink" Target="validation_reports/38_38003_Java_Sea_normalized_BA_completed_%28mid1970s%29/matrix_inspection.json" TargetMode="External"/><Relationship Id="rId18" Type="http://schemas.openxmlformats.org/officeDocument/2006/relationships/hyperlink" Target="LME038_taxon_mapping_appendix.xlsx" TargetMode="External"/><Relationship Id="rId19" Type="http://schemas.openxmlformats.org/officeDocument/2006/relationships/hyperlink" Target="LME038_taxon_mapping_appendix.xlsx#Sources%21A1" TargetMode="External"/><Relationship Id="rId20" Type="http://schemas.openxmlformats.org/officeDocument/2006/relationships/hyperlink" Target="papers/BUCHARY-1991/ubc_1999-0254.pdf.pdf#page=58" TargetMode="External"/><Relationship Id="rId21" Type="http://schemas.openxmlformats.org/officeDocument/2006/relationships/hyperlink" Target="papers/BUCHARY-1991/ubc_1999-0254.pdf.pdf#page=55" TargetMode="External"/><Relationship Id="rId22" Type="http://schemas.openxmlformats.org/officeDocument/2006/relationships/hyperlink" Target="validation_reports/38_38003_Java_Sea_normalized_BA_completed_%28mid1970s%29/supporting_sources_manifest.json" TargetMode="External"/><Relationship Id="rId23" Type="http://schemas.openxmlformats.org/officeDocument/2006/relationships/hyperlink" Target="validation_reports/38_38003_Java_Sea_normalized_BA_completed_%28mid1970s%29/taxon_audit.json" TargetMode="External"/><Relationship Id="rId24" Type="http://schemas.openxmlformats.org/officeDocument/2006/relationships/hyperlink" Target="validation_reports/38_38003_Java_Sea_normalized_BA_completed_%28mid1970s%29/identified_catch_proxy_review.json" TargetMode="External"/><Relationship Id="rId25" Type="http://schemas.openxmlformats.org/officeDocument/2006/relationships/hyperlink" Target="validation_reports/38_38003_Java_Sea_normalized_BA_completed_%28mid1970s%29/method_specific_mapping_exposure.json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hyperlink" Target="validation_reports/38_38003_Java_Sea_normalized_BA_completed_%28mid1970s%29/geography/target_region.geojson" TargetMode="External"/><Relationship Id="rId29" Type="http://schemas.openxmlformats.org/officeDocument/2006/relationships/hyperlink" Target="validation_reports/38_38003_Java_Sea_normalized_BA_completed_%28mid1970s%29/geography/reconstructed_study_bounds.geojson" TargetMode="External"/><Relationship Id="rId30" Type="http://schemas.openxmlformats.org/officeDocument/2006/relationships/hyperlink" Target="papers/BUCHARY-1991/ubc_1999-0254.pdf.pdf#page=30" TargetMode="External"/><Relationship Id="rId31" Type="http://schemas.openxmlformats.org/officeDocument/2006/relationships/hyperlink" Target="validation_reports/38_38003_Java_Sea_normalized_BA_completed_%28mid1970s%29/geography/geographic_assessment.json" TargetMode="External"/><Relationship Id="rId3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