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East China Sea model validation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3"/>
        <w:gridCol w:w="7834"/>
      </w:tblGrid>
      <w:tr>
        <w:trPr>
          <w:cantSplit/>
          <w:tblHeader/>
          <w:tblHeader/>
          <w:cantSplit/>
        </w:trPr>
        <w:tc>
          <w:tcPr>
            <w:tcW w:type="dxa" w:w="2203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type="dxa" w:w="7834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  <w:b/>
              </w:rPr>
              <w:t xml:space="preserve">Entry</w:t>
            </w:r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Region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East China Sea, LME_047; Sea Around Us target boundary.</w:t>
            </w:r>
            <w:r>
              <w:t xml:space="preserve"> </w:t>
            </w:r>
            <w:hyperlink r:id="rId9">
              <w:r>
                <w:rPr>
                  <w:color w:val="0563C1"/>
                  <w:u w:val="single"/>
                </w:rPr>
                <w:t>Regional workbook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Catch source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Sea Around Us v50.1, 1950–2019. Reference: 2019 landings, including reported and unreported retained catch; discards separate.</w:t>
            </w:r>
            <w:r>
              <w:t xml:space="preserve"> </w:t>
            </w:r>
            <w:hyperlink r:id="rId10">
              <w:r>
                <w:rPr>
                  <w:color w:val="0563C1"/>
                  <w:u w:val="single"/>
                </w:rPr>
                <w:t>Raw catch</w:t>
              </w:r>
            </w:hyperlink>
            <w:r>
              <w:t xml:space="preserve"> | </w:t>
            </w:r>
            <w:hyperlink r:id="rId11">
              <w:r>
                <w:rPr>
                  <w:color w:val="0563C1"/>
                  <w:u w:val="single"/>
                </w:rPr>
                <w:t>Taxon/TL source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Selected article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Xu, Song, Wang, Xie, Huang, Li, Zheng &amp; Lin (2022), Estimating the Impact of a Seasonal Fishing Moratorium on the East China Sea Ecosystem From 1997 to 2018. Frontiers in Marine Science 9, 865645; DOI 10.3389/fmars.2022.865645.</w:t>
            </w:r>
            <w:r>
              <w:t xml:space="preserve"> </w:t>
            </w:r>
            <w:hyperlink r:id="rId12">
              <w:r>
                <w:rPr>
                  <w:color w:val="0563C1"/>
                  <w:u w:val="single"/>
                </w:rPr>
                <w:t>Main paper</w:t>
              </w:r>
            </w:hyperlink>
            <w:r>
              <w:t xml:space="preserve"> | </w:t>
            </w:r>
            <w:hyperlink r:id="rId13">
              <w:r>
                <w:rPr>
                  <w:color w:val="0563C1"/>
                  <w:u w:val="single"/>
                </w:rPr>
                <w:t>Publisher supplement</w:t>
              </w:r>
            </w:hyperlink>
            <w:r>
              <w:t xml:space="preserve"> | </w:t>
            </w:r>
            <w:hyperlink r:id="rId14">
              <w:r>
                <w:rPr>
                  <w:color w:val="0563C1"/>
                  <w:u w:val="single"/>
                </w:rPr>
                <w:t>Paper folder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Other known articles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Li &amp; Zhang (2012), A trophic model of the East China Sea and its possible application. Helgoland Marine Research; DOI 10.1007/s10152-011-0278-7. Publisher supplement retained; focal main PDF unavailable. Cheng et al. (2009), Changes in the ecosystem structure of the East China Sea 1969–2000; known inventory source unavailable.</w:t>
            </w:r>
            <w:r>
              <w:t xml:space="preserve"> </w:t>
            </w:r>
            <w:hyperlink r:id="rId15">
              <w:r>
                <w:rPr>
                  <w:color w:val="0563C1"/>
                  <w:u w:val="single"/>
                </w:rPr>
                <w:t>Li supplement</w:t>
              </w:r>
            </w:hyperlink>
            <w:r>
              <w:t xml:space="preserve"> | </w:t>
            </w:r>
            <w:hyperlink r:id="rId16">
              <w:r>
                <w:rPr>
                  <w:color w:val="0563C1"/>
                  <w:u w:val="single"/>
                </w:rPr>
                <w:t>Other source inventory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Selected model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47_2_East_China_Sea_(2018); static M2018, autumn 2018/spring 2019 survey data. 24 ecological groups plus synthetic diet_import (25). Figure 1 shows a localized shelf study area; exact modeled boundary/area is unstated.</w:t>
            </w:r>
            <w:r>
              <w:t xml:space="preserve"> </w:t>
            </w:r>
            <w:hyperlink r:id="rId17">
              <w:r>
                <w:rPr>
                  <w:color w:val="0563C1"/>
                  <w:u w:val="single"/>
                </w:rPr>
                <w:t>Selected JSON</w:t>
              </w:r>
            </w:hyperlink>
            <w:r>
              <w:t xml:space="preserve"> | </w:t>
            </w:r>
            <w:hyperlink r:id="rId18">
              <w:r>
                <w:rPr>
                  <w:color w:val="0563C1"/>
                  <w:u w:val="single"/>
                </w:rPr>
                <w:t>Saved computational workbook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  <w:b/>
              </w:rPr>
              <w:t xml:space="preserve">Other models from the same article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47_1_East_China_Sea_(1997) remains a separate, unselected counterpart, using the 1997–2000 resource survey and different parameter/diet state. Ecosim M2018 SFM/no-SFM scenarios are simulations, not alternative static M2018 source exports.</w:t>
            </w:r>
            <w:r>
              <w:t xml:space="preserve"> </w:t>
            </w:r>
            <w:hyperlink r:id="rId19">
              <w:r>
                <w:rPr>
                  <w:color w:val="0563C1"/>
                  <w:u w:val="single"/>
                </w:rPr>
                <w:t>1997 JSON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Selection rationale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Article: ? (separate article-choice reason unrecorded). Model: “2018 preferred; 1997 retained separately. Model coefficients held fixed across catch years.” This recorded recency preference does not establish whole-LME spatial suitability.</w:t>
            </w:r>
            <w:r>
              <w:t xml:space="preserve"> </w:t>
            </w:r>
            <w:hyperlink r:id="rId20">
              <w:r>
                <w:rPr>
                  <w:color w:val="0563C1"/>
                  <w:u w:val="single"/>
                </w:rPr>
                <w:t>Recorded rationale</w:t>
              </w:r>
            </w:hyperlink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Model extraction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All populated M2018 Table 1 B/PB/QB/EE cells match accepted inputs. Canonical diets match normalized S3 columns; 91 raw decimal cells differ across columns summing 0.999–1.001. Canonical export 0 becomes catch; those source catch zeros are unverified placeholders. GS 0.2, derived accumulation, migration defaults, single-detritus routing and effective detritus EE 1 versus published 0.241 remain accepted accounting assumptions.</w:t>
            </w:r>
            <w:r>
              <w:t xml:space="preserve"> </w:t>
            </w:r>
            <w:hyperlink r:id="rId21">
              <w:r>
                <w:rPr>
                  <w:color w:val="0563C1"/>
                  <w:u w:val="single"/>
                </w:rPr>
                <w:t>Source review</w:t>
              </w:r>
            </w:hyperlink>
            <w:r>
              <w:t xml:space="preserve"> | </w:t>
            </w:r>
            <w:hyperlink r:id="rId22">
              <w:r>
                <w:rPr>
                  <w:color w:val="0563C1"/>
                  <w:u w:val="single"/>
                </w:rPr>
                <w:t>Diet provenance</w:t>
              </w:r>
            </w:hyperlink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SPPR calculation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[MANUAL — Researcher: calculation choices and reasons]</w:t>
            </w:r>
          </w:p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</w:rPr>
              <w:t xml:space="preserve">[Excluded groups, scope and relevant values; other adjustments]</w:t>
            </w:r>
          </w:p>
        </w:tc>
      </w:tr>
    </w:tbl>
    <w:p>
      <w:pPr>
        <w:spacing w:after="40" w:before="0" w:line="240" w:lineRule="auto"/>
        <w:pageBreakBefore/>
      </w:pPr>
      <w:r>
        <w:rPr>
          <w:rFonts w:ascii="Calibri" w:hAnsi="Calibri"/>
          <w:sz w:val="2"/>
          <w:color w:val="000000"/>
        </w:rPr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03"/>
        <w:gridCol w:w="7834"/>
      </w:tblGrid>
      <w:tr>
        <w:trPr>
          <w:cantSplit/>
          <w:tblHeader/>
          <w:tblHeader/>
          <w:cantSplit/>
        </w:trPr>
        <w:tc>
          <w:tcPr>
            <w:tcW w:type="dxa" w:w="2203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Field</w:t>
            </w:r>
          </w:p>
        </w:tc>
        <w:tc>
          <w:tcPr>
            <w:tcW w:type="dxa" w:w="7834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rPr>
                <w:rFonts w:ascii="Calibri" w:hAnsi="Calibri"/>
                <w:sz w:val="21"/>
                <w:color w:val="000000"/>
                <w:b/>
              </w:rPr>
              <w:t xml:space="preserve">Entry</w:t>
            </w:r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GE diagnostics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No negative SPPR entries across the basal-source columns, including unfished groups. rho_living=0.68741032; b=0.19875674; Detritus (24) SPPR=1.40875704.</w:t>
            </w:r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TE diagnostics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No negative SPPR entries across the basal-source columns, including unfished groups. rho_living=0.78412356; Detritus (24) SPPR=0.71815444.</w:t>
            </w:r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Geographic fit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Approximate study-footprint A: 10–15% of the target region. B: 90–100% of the displayed study area inside the target. Exact model boundary is unstated.</w:t>
            </w:r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Temporal fit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Static M2018 coefficients and catch/biomass proxy splits are transferred across 1950–2019. Reference 2019 overlaps the spring survey, but fixed guild composition does not represent observed change across years, fleets or catch bases.</w:t>
            </w:r>
          </w:p>
        </w:tc>
      </w:tr>
      <w:tr>
        <w:trPr>
          <w:cantSplit/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Other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>
              <w:t>Direct GE, TE and With Egestion remain WARN; strict input and budget balance pass. EE 0 in Sharks (22) and Marine mammals (23) yields TE EEfix SPPR 0. Diagnostic footprint 0 uses unverified model catch 0; positive SAU catch yields positive regional PPR. Source defaults and spatial transfer remain limits; existing production eligibility is preserved.</w:t>
            </w:r>
            <w:r>
              <w:t xml:space="preserve"> </w:t>
            </w:r>
            <w:hyperlink r:id="rId23">
              <w:r>
                <w:rPr>
                  <w:color w:val="0563C1"/>
                  <w:u w:val="single"/>
                </w:rPr>
                <w:t>Full matrices</w:t>
              </w:r>
            </w:hyperlink>
            <w:r>
              <w:t xml:space="preserve"> | </w:t>
            </w:r>
            <w:hyperlink r:id="rId24">
              <w:r>
                <w:rPr>
                  <w:color w:val="0563C1"/>
                  <w:u w:val="single"/>
                </w:rPr>
                <w:t>Method exposure</w:t>
              </w:r>
            </w:hyperlink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Open issues and next action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sz w:val="21"/>
              </w:rPr>
              <w:t>[Researcher: open issues and next actions]</w:t>
              <w:br/>
              <w:t/>
              <w:br/>
              <w:t/>
            </w:r>
          </w:p>
        </w:tc>
      </w:tr>
      <w:tr>
        <w:trPr>
          <w:cantSplit/>
        </w:trPr>
        <w:tc>
          <w:tcPr>
            <w:tcW w:type="dxa" w:w="2203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b/>
                <w:sz w:val="21"/>
              </w:rPr>
              <w:t>Review and reproducibility</w:t>
            </w:r>
          </w:p>
        </w:tc>
        <w:tc>
          <w:tcPr>
            <w:tcW w:type="dxa" w:w="7834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rPr>
                <w:sz w:val="21"/>
              </w:rPr>
              <w:t>Researcher name: [name] | review date: [date]</w:t>
              <w:br/>
              <w:t/>
              <w:br/>
              <w:t/>
              <w:br/>
              <w:t/>
            </w:r>
          </w:p>
        </w:tc>
      </w:tr>
    </w:tbl>
    <w:p>
      <w:pPr>
        <w:keepNext/>
        <w:pageBreakBefore/>
        <w:spacing w:after="120"/>
      </w:pPr>
      <w:r>
        <w:rPr>
          <w:rFonts w:ascii="Calibri" w:hAnsi="Calibri"/>
          <w:b/>
          <w:color w:val="000000"/>
          <w:sz w:val="30"/>
        </w:rPr>
        <w:t>Taxon mapping and coverage</w:t>
      </w:r>
    </w:p>
    <w:p>
      <w:pPr>
        <w:keepNext w:val="0"/>
        <w:pageBreakBefore w:val="0"/>
        <w:spacing w:after="120"/>
      </w:pPr>
      <w:r>
        <w:t>Reference: 2019 landings; all exact catch labels, including unidentified and zero-catch records; no taxon or group filter.</w:t>
      </w:r>
    </w:p>
    <w:p>
      <w:pPr>
        <w:keepNext w:val="0"/>
        <w:pageBreakBefore w:val="0"/>
        <w:spacing w:after="120"/>
      </w:pPr>
      <w:r>
        <w:t>24 ecological source groups (+1 computational import); 276 catch labels.</w:t>
      </w:r>
    </w:p>
    <w:p>
      <w:pPr>
        <w:keepNext w:val="0"/>
        <w:pageBreakBefore w:val="0"/>
        <w:spacing w:after="120"/>
      </w:pPr>
      <w:r>
        <w:t>Simple-chain PPR totals 370,210,805.58 t C in 2019.</w:t>
      </w:r>
    </w:p>
    <w:p>
      <w:pPr>
        <w:keepNext w:val="0"/>
        <w:pageBreakBefore w:val="0"/>
        <w:spacing w:after="120"/>
      </w:pPr>
      <w:r>
        <w:t>22 labels lack a saved classic coefficient/TL; all have zero 2019 landings and zero annual PPR. Unavailable TL remains ?, not zero.</w:t>
      </w:r>
    </w:p>
    <w:p>
      <w:pPr>
        <w:keepNext w:val="0"/>
        <w:pageBreakBefore w:val="0"/>
        <w:spacing w:after="120"/>
      </w:pPr>
      <w:r>
        <w:t>Method: independent classic/simple trophic chain using the saved taxon coefficient and a single carbon conversion.</w:t>
      </w:r>
    </w:p>
    <w:p>
      <w:pPr>
        <w:keepNext w:val="0"/>
        <w:pageBreakBefore w:val="0"/>
        <w:spacing w:after="120"/>
      </w:pPr>
      <w:hyperlink r:id="rId25">
        <w:r>
          <w:rPr>
            <w:color w:val="0563C1"/>
            <w:u w:val="single"/>
          </w:rPr>
          <w:t>Full taxon mapping appendix</w:t>
        </w:r>
      </w:hyperlink>
      <w:r>
        <w:t xml:space="preserve"> and </w:t>
      </w:r>
      <w:hyperlink r:id="rId26">
        <w:r>
          <w:rPr>
            <w:color w:val="0563C1"/>
            <w:u w:val="single"/>
          </w:rPr>
          <w:t>descriptive Sources sheet</w:t>
        </w:r>
      </w:hyperlink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888"/>
        <w:gridCol w:w="1440"/>
        <w:gridCol w:w="2304"/>
        <w:gridCol w:w="2376"/>
      </w:tblGrid>
      <w:tr>
        <w:trPr>
          <w:tblHeader/>
          <w:cantSplit/>
          <w:tblHeader/>
          <w:cantSplit/>
        </w:trPr>
        <w:tc>
          <w:tcPr>
            <w:tcW w:type="dxa" w:w="3888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0000"/>
                <w:sz w:val="20"/>
              </w:rPr>
              <w:t>Overall confidence</w:t>
            </w:r>
          </w:p>
        </w:tc>
        <w:tc>
          <w:tcPr>
            <w:tcW w:type="dxa" w:w="1440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Taxa</w:t>
            </w:r>
          </w:p>
        </w:tc>
        <w:tc>
          <w:tcPr>
            <w:tcW w:type="dxa" w:w="2304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Catch percentage</w:t>
            </w:r>
          </w:p>
        </w:tc>
        <w:tc>
          <w:tcPr>
            <w:tcW w:type="dxa" w:w="2376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PPR percentage</w:t>
            </w:r>
          </w:p>
        </w:tc>
      </w:tr>
      <w:tr>
        <w:trPr>
          <w:cantSplit/>
          <w:cantSplit/>
        </w:trPr>
        <w:tc>
          <w:tcPr>
            <w:tcW w:type="dxa" w:w="38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High</w:t>
            </w:r>
          </w:p>
        </w:tc>
        <w:tc>
          <w:tcPr>
            <w:tcW w:type="dxa" w:w="14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49</w:t>
            </w:r>
          </w:p>
        </w:tc>
        <w:tc>
          <w:tcPr>
            <w:tcW w:type="dxa" w:w="23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33.1814%</w:t>
            </w:r>
          </w:p>
        </w:tc>
        <w:tc>
          <w:tcPr>
            <w:tcW w:type="dxa" w:w="237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53.7495%</w:t>
            </w:r>
          </w:p>
        </w:tc>
      </w:tr>
      <w:tr>
        <w:trPr>
          <w:cantSplit/>
          <w:cantSplit/>
        </w:trPr>
        <w:tc>
          <w:tcPr>
            <w:tcW w:type="dxa" w:w="3888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Medium</w:t>
            </w:r>
          </w:p>
        </w:tc>
        <w:tc>
          <w:tcPr>
            <w:tcW w:type="dxa" w:w="1440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185</w:t>
            </w:r>
          </w:p>
        </w:tc>
        <w:tc>
          <w:tcPr>
            <w:tcW w:type="dxa" w:w="23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52.6265%</w:t>
            </w:r>
          </w:p>
        </w:tc>
        <w:tc>
          <w:tcPr>
            <w:tcW w:type="dxa" w:w="2376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41.2222%</w:t>
            </w:r>
          </w:p>
        </w:tc>
      </w:tr>
      <w:tr>
        <w:trPr>
          <w:cantSplit/>
          <w:cantSplit/>
        </w:trPr>
        <w:tc>
          <w:tcPr>
            <w:tcW w:type="dxa" w:w="38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Low</w:t>
            </w:r>
          </w:p>
        </w:tc>
        <w:tc>
          <w:tcPr>
            <w:tcW w:type="dxa" w:w="14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16</w:t>
            </w:r>
          </w:p>
        </w:tc>
        <w:tc>
          <w:tcPr>
            <w:tcW w:type="dxa" w:w="23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0.0494%</w:t>
            </w:r>
          </w:p>
        </w:tc>
        <w:tc>
          <w:tcPr>
            <w:tcW w:type="dxa" w:w="237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0.2036%</w:t>
            </w:r>
          </w:p>
        </w:tc>
      </w:tr>
      <w:tr>
        <w:trPr>
          <w:cantSplit/>
          <w:cantSplit/>
        </w:trPr>
        <w:tc>
          <w:tcPr>
            <w:tcW w:type="dxa" w:w="3888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Very low</w:t>
            </w:r>
          </w:p>
        </w:tc>
        <w:tc>
          <w:tcPr>
            <w:tcW w:type="dxa" w:w="1440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26</w:t>
            </w:r>
          </w:p>
        </w:tc>
        <w:tc>
          <w:tcPr>
            <w:tcW w:type="dxa" w:w="2304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14.1427%</w:t>
            </w:r>
          </w:p>
        </w:tc>
        <w:tc>
          <w:tcPr>
            <w:tcW w:type="dxa" w:w="2376"/>
            <w:shd w:fill="F5F7F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4.8247%</w:t>
            </w:r>
          </w:p>
        </w:tc>
      </w:tr>
      <w:tr>
        <w:trPr>
          <w:cantSplit/>
          <w:cantSplit/>
        </w:trPr>
        <w:tc>
          <w:tcPr>
            <w:tcW w:type="dxa" w:w="3888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Unresolved</w:t>
            </w:r>
          </w:p>
        </w:tc>
        <w:tc>
          <w:tcPr>
            <w:tcW w:type="dxa" w:w="1440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0</w:t>
            </w:r>
          </w:p>
        </w:tc>
        <w:tc>
          <w:tcPr>
            <w:tcW w:type="dxa" w:w="230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0.0000%</w:t>
            </w:r>
          </w:p>
        </w:tc>
        <w:tc>
          <w:tcPr>
            <w:tcW w:type="dxa" w:w="2376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0.0000%</w:t>
            </w:r>
          </w:p>
        </w:tc>
      </w:tr>
    </w:tbl>
    <w:p>
      <w:pPr>
        <w:keepNext w:val="0"/>
        <w:pageBreakBefore w:val="0"/>
        <w:spacing w:after="120"/>
      </w:pPr>
      <w:r>
        <w:rPr>
          <w:rFonts w:ascii="Calibri" w:hAnsi="Calibri"/>
          <w:b w:val="0"/>
          <w:color w:val="000000"/>
          <w:sz w:val="21"/>
        </w:rPr>
        <w:t>The summary uses the weaker required membership or allocation confidence. The following tables show each component separately.</w:t>
      </w:r>
    </w:p>
    <w:p>
      <w:pPr>
        <w:keepNext/>
        <w:pageBreakBefore w:val="0"/>
        <w:spacing w:after="120"/>
      </w:pPr>
      <w:r>
        <w:rPr>
          <w:rFonts w:ascii="Calibri" w:hAnsi="Calibri"/>
          <w:b/>
          <w:color w:val="000000"/>
          <w:sz w:val="23"/>
        </w:rPr>
        <w:t>Group assignment rules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624"/>
        <w:gridCol w:w="1512"/>
        <w:gridCol w:w="1872"/>
      </w:tblGrid>
      <w:tr>
        <w:trPr>
          <w:tblHeader/>
          <w:cantSplit/>
          <w:tblHeader/>
          <w:cantSplit/>
        </w:trPr>
        <w:tc>
          <w:tcPr>
            <w:tcW w:type="dxa" w:w="6624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0000"/>
                <w:sz w:val="20"/>
              </w:rPr>
              <w:t>Plain-language rule</w:t>
            </w:r>
          </w:p>
        </w:tc>
        <w:tc>
          <w:tcPr>
            <w:tcW w:type="dxa" w:w="151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Confidence</w:t>
            </w:r>
          </w:p>
        </w:tc>
        <w:tc>
          <w:tcPr>
            <w:tcW w:type="dxa" w:w="187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PPR percentage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Exact source member in one group or a documented author union.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High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53.3678%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Broad reporting label uses a plausible pooled mixture of unknown composition.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Very low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2.7290%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Closest represented analogue retains material habitat, feeding or taxonomic mismatch.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Very low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2.0957%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Older ECS lobster evidence transfers to focal Crabs.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Medium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0.0029%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Verified synonym connects the catch label to a source member.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High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0.1181%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Verified taxon fits the explicit Bivalves or Cnidaria pool.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High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1.2439%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Unlisted taxon extends documented source representatives.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Medium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17.3951%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Habitat and feeding support an inferred guild.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Medium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19.6360%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Partial ecological fit retains size, habitat or competing-pool uncertainty.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Low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0.2036%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Source members support an inferred family/order group set.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Medium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3.2080%</w:t>
            </w:r>
          </w:p>
        </w:tc>
      </w:tr>
    </w:tbl>
    <w:p>
      <w:pPr>
        <w:keepNext w:val="0"/>
        <w:pageBreakBefore w:val="0"/>
        <w:spacing w:after="120"/>
      </w:pPr>
      <w:r>
        <w:t xml:space="preserve">Membership evidence: </w:t>
      </w:r>
      <w:hyperlink r:id="rId13">
        <w:r>
          <w:rPr>
            <w:color w:val="0563C1"/>
            <w:u w:val="single"/>
          </w:rPr>
          <w:t>focal Table S1</w:t>
        </w:r>
      </w:hyperlink>
      <w:r>
        <w:t xml:space="preserve"> and </w:t>
      </w:r>
      <w:hyperlink r:id="rId27">
        <w:r>
          <w:rPr>
            <w:color w:val="0563C1"/>
            <w:u w:val="single"/>
          </w:rPr>
          <w:t>all taxon decisions</w:t>
        </w:r>
      </w:hyperlink>
      <w:r>
        <w:t>. Representative lists are not exhaustive family definitions. Bony residuals exclude dedicated cartilage but retain eligible mixed guilds and named fish groups.</w:t>
      </w:r>
    </w:p>
    <w:p>
      <w:pPr>
        <w:keepNext/>
        <w:pageBreakBefore w:val="0"/>
        <w:spacing w:after="120"/>
      </w:pPr>
      <w:r>
        <w:rPr>
          <w:rFonts w:ascii="Calibri" w:hAnsi="Calibri"/>
          <w:b/>
          <w:color w:val="000000"/>
          <w:sz w:val="23"/>
        </w:rPr>
        <w:t>Allocation weight rules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624"/>
        <w:gridCol w:w="1512"/>
        <w:gridCol w:w="1872"/>
      </w:tblGrid>
      <w:tr>
        <w:trPr>
          <w:tblHeader/>
          <w:cantSplit/>
          <w:tblHeader/>
          <w:cantSplit/>
        </w:trPr>
        <w:tc>
          <w:tcPr>
            <w:tcW w:type="dxa" w:w="6624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000000"/>
                <w:sz w:val="20"/>
              </w:rPr>
              <w:t>Plain-language rule</w:t>
            </w:r>
          </w:p>
        </w:tc>
        <w:tc>
          <w:tcPr>
            <w:tcW w:type="dxa" w:w="151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Confidence</w:t>
            </w:r>
          </w:p>
        </w:tc>
        <w:tc>
          <w:tcPr>
            <w:tcW w:type="dxa" w:w="1872"/>
            <w:shd w:fill="DDE9EE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rPr>
                <w:rFonts w:ascii="Calibri" w:hAnsi="Calibri"/>
                <w:b/>
                <w:color w:val="000000"/>
                <w:sz w:val="20"/>
              </w:rPr>
              <w:t>PPR percentage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One reviewed source group; no numerical split.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High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93.0667%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Complete positive 2018 source catch proportions proxy the taxon mixture across years and bases.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Medium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2.0569%</w:t>
            </w:r>
          </w:p>
        </w:tc>
      </w:tr>
      <w:tr>
        <w:trPr>
          <w:cantSplit/>
          <w:cantSplit/>
        </w:trPr>
        <w:tc>
          <w:tcPr>
            <w:tcW w:type="dxa" w:w="6624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</w:pPr>
            <w:r>
              <w:t>Complete M2018 group biomass proportions proxy composition after source catch is incomplete or censored.</w:t>
            </w:r>
          </w:p>
        </w:tc>
        <w:tc>
          <w:tcPr>
            <w:tcW w:type="dxa" w:w="151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Medium</w:t>
            </w:r>
          </w:p>
        </w:tc>
        <w:tc>
          <w:tcPr>
            <w:tcW w:type="dxa" w:w="1872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before="40"/>
              <w:jc w:val="center"/>
            </w:pPr>
            <w:r>
              <w:t>4.8763%</w:t>
            </w:r>
          </w:p>
        </w:tc>
      </w:tr>
    </w:tbl>
    <w:p>
      <w:pPr>
        <w:keepNext w:val="0"/>
        <w:pageBreakBefore w:val="0"/>
        <w:spacing w:after="120"/>
      </w:pPr>
      <w:r>
        <w:t xml:space="preserve">Overall confidence is the weaker membership/allocation component. The rule percentages use the complete known classic-PPR universe. 12 split labels use complete positive 2018 S4 source catch; 15 use complete M2018 biomass after incomplete/censored catch. Both allocations are Medium proxies. S4 is M1997 calibration data, not a native static M2018 catch export. Whole-guild proportions are not measured taxon/stage shares; fixed year, area, fleet and basis transfer remains an assumption. </w:t>
      </w:r>
      <w:hyperlink r:id="rId28">
        <w:r>
          <w:rPr>
            <w:color w:val="0563C1"/>
            <w:u w:val="single"/>
          </w:rPr>
          <w:t>Allocation evidence</w:t>
        </w:r>
      </w:hyperlink>
      <w:r>
        <w:t xml:space="preserve"> | </w:t>
      </w:r>
      <w:hyperlink r:id="rId29">
        <w:r>
          <w:rPr>
            <w:color w:val="0563C1"/>
            <w:u w:val="single"/>
          </w:rPr>
          <w:t>Historical donor reconstruction</w:t>
        </w:r>
      </w:hyperlink>
    </w:p>
    <w:p>
      <w:pPr>
        <w:keepNext w:val="0"/>
        <w:pageBreakBefore w:val="0"/>
        <w:spacing w:after="120"/>
      </w:pPr>
      <w:r>
        <w:t xml:space="preserve">No unresolved labels remain. Very low: 26 labels, 14.1427% of landings and 4.8247% of classic PPR. Broad residuals, northern-water/grazing fish, gastropod and whale-shark analogues retain explicit limits. Mola uses a weak zooplankton-feeding fish analogue; Scaridae a weak coastal mixed-feeding analogue. Their Very low cohort contributes 14.17% of GE, 12.25% of TE and 13.74% of With Egestion PPR under the same reference controls. </w:t>
      </w:r>
      <w:hyperlink r:id="rId24">
        <w:r>
          <w:rPr>
            <w:color w:val="0563C1"/>
            <w:u w:val="single"/>
          </w:rPr>
          <w:t>Method-specific contributions</w:t>
        </w:r>
      </w:hyperlink>
    </w:p>
    <w:p>
      <w:pPr>
        <w:pStyle w:val="Title"/>
        <w:pageBreakBefore/>
        <w:keepNext/>
        <w:pageBreakBefore/>
      </w:pPr>
      <w:r>
        <w:t>Geographic evidence screenshots</w:t>
      </w:r>
    </w:p>
    <w:p>
      <w:pPr>
        <w:spacing w:after="40" w:before="0" w:line="240" w:lineRule="auto"/>
      </w:pPr>
      <w:r>
        <w:t>R is the full East China Sea LME target. S reconstructs the blue hatch in Figure 1, whose caption calls it the study area. Methods identify the M2018 joint autumn 2018/spring 2019 survey but supply no separate explicit model boundary or area. Coverage therefore describes this study footprint, with model-domain representativeness unresolved. Native graticule calibration preserves the offshore gap, western bends and southern/northeastern boundary; eight water controls pass.</w:t>
      </w:r>
    </w:p>
    <w:p>
      <w:pPr>
        <w:pStyle w:val="Heading2"/>
        <w:keepNext/>
      </w:pPr>
      <w:r>
        <w:t>Region area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7"/>
      </w:tblGrid>
      <w:tr>
        <w:trPr>
          <w:cantSplit/>
          <w:tblHeader/>
          <w:tblHeader/>
          <w:cantSplit/>
        </w:trPr>
        <w:tc>
          <w:tcPr>
            <w:tcW w:type="dxa" w:w="10037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t>East China Sea target region</w:t>
            </w:r>
          </w:p>
        </w:tc>
      </w:tr>
      <w:tr>
        <w:trPr>
          <w:cantSplit/>
          <w:trHeight w:val="2880" w:hRule="atLeast"/>
          <w:cantSplit/>
        </w:trPr>
        <w:tc>
          <w:tcPr>
            <w:tcW w:type="dxa" w:w="10037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572000" cy="36576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rget_region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0" w:line="240" w:lineRule="auto"/>
      </w:pPr>
      <w:r>
        <w:t xml:space="preserve">Sea Around Us LME 47 target R: 779,590 km². </w:t>
      </w:r>
      <w:r>
        <w:t xml:space="preserve"> </w:t>
      </w:r>
      <w:hyperlink r:id="rId32">
        <w:r>
          <w:rPr>
            <w:color w:val="0563C1"/>
            <w:u w:val="single"/>
          </w:rPr>
          <w:t>Target boundary</w:t>
        </w:r>
      </w:hyperlink>
      <w:r>
        <w:t xml:space="preserve"> | </w:t>
      </w:r>
      <w:hyperlink r:id="rId33">
        <w:r>
          <w:rPr>
            <w:color w:val="0563C1"/>
            <w:u w:val="single"/>
          </w:rPr>
          <w:t>Map image</w:t>
        </w:r>
      </w:hyperlink>
    </w:p>
    <w:p>
      <w:pPr>
        <w:pStyle w:val="Heading2"/>
        <w:keepNext/>
        <w:pageBreakBefore/>
      </w:pPr>
      <w:r>
        <w:t>Study area in the article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37"/>
      </w:tblGrid>
      <w:tr>
        <w:trPr>
          <w:cantSplit/>
          <w:tblHeader/>
          <w:tblHeader/>
          <w:cantSplit/>
        </w:trPr>
        <w:tc>
          <w:tcPr>
            <w:tcW w:type="dxa" w:w="10037"/>
            <w:vAlign w:val="center"/>
            <w:shd w:fill="E5ECF0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/>
            </w:pPr>
            <w:r>
              <w:t>Original East China Sea study area — Figure 1</w:t>
            </w:r>
          </w:p>
        </w:tc>
      </w:tr>
      <w:tr>
        <w:trPr>
          <w:cantSplit/>
          <w:trHeight w:val="2880" w:hRule="atLeast"/>
          <w:cantSplit/>
        </w:trPr>
        <w:tc>
          <w:tcPr>
            <w:tcW w:type="dxa" w:w="10037"/>
            <w:vAlign w:val="center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5" w:color="D9D9D9"/>
              <w:left w:val="single" w:sz="5" w:color="D9D9D9"/>
              <w:bottom w:val="single" w:sz="5" w:color="D9D9D9"/>
              <w:right w:val="single" w:sz="5" w:color="D9D9D9"/>
            </w:tcBorders>
          </w:tcPr>
          <w:p>
            <w:pPr>
              <w:spacing w:after="40" w:before="0" w:line="240" w:lineRule="auto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4251960" cy="392296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riginal_figure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1960" cy="392296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0" w:line="240" w:lineRule="auto"/>
      </w:pPr>
      <w:r>
        <w:t xml:space="preserve">Xu et al. 2022 Figure 1, PDF 3: “The study area in the East China Sea.” §2.2, PDF 4: M2018 uses the joint ECS survey in autumn 2018 and spring 2019. The generic regional description supplies context, not a whole-LME native model boundary. </w:t>
      </w:r>
      <w:r>
        <w:t xml:space="preserve"> </w:t>
      </w:r>
      <w:hyperlink r:id="rId34">
        <w:r>
          <w:rPr>
            <w:color w:val="0563C1"/>
            <w:u w:val="single"/>
          </w:rPr>
          <w:t>Original figure</w:t>
        </w:r>
      </w:hyperlink>
      <w:r>
        <w:t xml:space="preserve"> | </w:t>
      </w:r>
      <w:hyperlink r:id="rId35">
        <w:r>
          <w:rPr>
            <w:color w:val="0563C1"/>
            <w:u w:val="single"/>
          </w:rPr>
          <w:t>Methods</w:t>
        </w:r>
      </w:hyperlink>
      <w:r>
        <w:t xml:space="preserve"> | </w:t>
      </w:r>
      <w:hyperlink r:id="rId36">
        <w:r>
          <w:rPr>
            <w:color w:val="0563C1"/>
            <w:u w:val="single"/>
          </w:rPr>
          <w:t>Geographic assessment</w:t>
        </w:r>
      </w:hyperlink>
    </w:p>
    <w:p>
      <w:pPr>
        <w:pageBreakBefore/>
        <w:spacing w:after="40" w:before="0" w:line="240" w:lineRule="auto"/>
      </w:pPr>
      <w:r>
        <w:t xml:space="preserve">Approximate marine study area 106,097 km²; A≈13.61%, B≈100.00%. Descriptive ranges 10–15% and 90–100% reflect trace, registration and coastline uncertainty. Natural Earth ne_50m means 1:50 million scale, not 50 metres. Coverage is not a PPR multiplier. </w:t>
      </w:r>
      <w:hyperlink r:id="rId37">
        <w:r>
          <w:rPr>
            <w:color w:val="0563C1"/>
            <w:u w:val="single"/>
          </w:rPr>
          <w:t>Reconstructed footprint</w:t>
        </w:r>
      </w:hyperlink>
      <w:r>
        <w:br/>
      </w:r>
      <w:r>
        <w:drawing>
          <wp:inline xmlns:a="http://schemas.openxmlformats.org/drawingml/2006/main" xmlns:pic="http://schemas.openxmlformats.org/drawingml/2006/picture">
            <wp:extent cx="5303520" cy="42428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24281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type w:val="nextPage"/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7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Validation1" Type="http://schemas.openxmlformats.org/officeDocument/2006/relationships/hyperlink" Target="[Excel_appendix.xlsx]" TargetMode="External"/><Relationship Id="rId9" Type="http://schemas.openxmlformats.org/officeDocument/2006/relationships/hyperlink" Target="LME_047.xlsx" TargetMode="External"/><Relationship Id="rId10" Type="http://schemas.openxmlformats.org/officeDocument/2006/relationships/hyperlink" Target="raw/LME_047-catch.zip" TargetMode="External"/><Relationship Id="rId11" Type="http://schemas.openxmlformats.org/officeDocument/2006/relationships/hyperlink" Target="raw/LME_047-exploited.json" TargetMode="External"/><Relationship Id="rId12" Type="http://schemas.openxmlformats.org/officeDocument/2006/relationships/hyperlink" Target="papers/ECS-2022/pdf-e60d0358.pdf" TargetMode="External"/><Relationship Id="rId13" Type="http://schemas.openxmlformats.org/officeDocument/2006/relationships/hyperlink" Target="papers/ECS-2022/DataSheet_1_EstimatingtheImpactofaSeasonal-7491f315.docx" TargetMode="External"/><Relationship Id="rId14" Type="http://schemas.openxmlformats.org/officeDocument/2006/relationships/hyperlink" Target="papers/ECS-2022/" TargetMode="External"/><Relationship Id="rId15" Type="http://schemas.openxmlformats.org/officeDocument/2006/relationships/hyperlink" Target="papers/LME047-Li-2012/10152_2011_278_MOESM1_ESM-d161693b.doc" TargetMode="External"/><Relationship Id="rId16" Type="http://schemas.openxmlformats.org/officeDocument/2006/relationships/hyperlink" Target="validation_reports/47_2_East_China_Sea_%282018%29/source_identity_verification.json" TargetMode="External"/><Relationship Id="rId17" Type="http://schemas.openxmlformats.org/officeDocument/2006/relationships/hyperlink" Target="models/47_2_East_China_Sea_%282018%29/model.json" TargetMode="External"/><Relationship Id="rId18" Type="http://schemas.openxmlformats.org/officeDocument/2006/relationships/hyperlink" Target="models/47_2_East_China_Sea_%282018%29/sppr_source.xlsx" TargetMode="External"/><Relationship Id="rId19" Type="http://schemas.openxmlformats.org/officeDocument/2006/relationships/hyperlink" Target="models/47_1_East_China_Sea_%281997%29/model.json" TargetMode="External"/><Relationship Id="rId20" Type="http://schemas.openxmlformats.org/officeDocument/2006/relationships/hyperlink" Target="LME_047.xlsx#Overview%21A1" TargetMode="External"/><Relationship Id="rId21" Type="http://schemas.openxmlformats.org/officeDocument/2006/relationships/hyperlink" Target="validation_reports/47_2_East_China_Sea_%282018%29/source_review.md" TargetMode="External"/><Relationship Id="rId22" Type="http://schemas.openxmlformats.org/officeDocument/2006/relationships/hyperlink" Target="validation_reports/47_2_East_China_Sea_%282018%29/diet_normalization_provenance.json" TargetMode="External"/><Relationship Id="rId23" Type="http://schemas.openxmlformats.org/officeDocument/2006/relationships/hyperlink" Target="validation_reports/47_2_East_China_Sea_%282018%29/matrix_inspection.json" TargetMode="External"/><Relationship Id="rId24" Type="http://schemas.openxmlformats.org/officeDocument/2006/relationships/hyperlink" Target="validation_reports/47_2_East_China_Sea_%282018%29/method_contribution_exposure.json" TargetMode="External"/><Relationship Id="rId25" Type="http://schemas.openxmlformats.org/officeDocument/2006/relationships/hyperlink" Target="LME047_taxon_mapping_appendix.xlsx" TargetMode="External"/><Relationship Id="rId26" Type="http://schemas.openxmlformats.org/officeDocument/2006/relationships/hyperlink" Target="LME047_taxon_mapping_appendix.xlsx#Sources%21A1" TargetMode="External"/><Relationship Id="rId27" Type="http://schemas.openxmlformats.org/officeDocument/2006/relationships/hyperlink" Target="validation_reports/47_2_East_China_Sea_%282018%29/taxon_audit.json" TargetMode="External"/><Relationship Id="rId28" Type="http://schemas.openxmlformats.org/officeDocument/2006/relationships/hyperlink" Target="validation_reports/47_2_East_China_Sea_%282018%29/allocation_evidence.json" TargetMode="External"/><Relationship Id="rId29" Type="http://schemas.openxmlformats.org/officeDocument/2006/relationships/hyperlink" Target="validation_reports/47_2_East_China_Sea_%282018%29/identified_catch_proxy_review.json" TargetMode="External"/><Relationship Id="rId30" Type="http://schemas.openxmlformats.org/officeDocument/2006/relationships/image" Target="media/image1.png"/><Relationship Id="rId31" Type="http://schemas.openxmlformats.org/officeDocument/2006/relationships/image" Target="media/image2.png"/><Relationship Id="rId32" Type="http://schemas.openxmlformats.org/officeDocument/2006/relationships/hyperlink" Target="validation_reports/47_2_East_China_Sea_%282018%29/geography/target_region.geojson" TargetMode="External"/><Relationship Id="rId33" Type="http://schemas.openxmlformats.org/officeDocument/2006/relationships/hyperlink" Target="validation_reports/47_2_East_China_Sea_%282018%29/geography/target_region.png" TargetMode="External"/><Relationship Id="rId34" Type="http://schemas.openxmlformats.org/officeDocument/2006/relationships/hyperlink" Target="papers/ECS-2022/pdf-e60d0358.pdf#page=3" TargetMode="External"/><Relationship Id="rId35" Type="http://schemas.openxmlformats.org/officeDocument/2006/relationships/hyperlink" Target="papers/ECS-2022/pdf-e60d0358.pdf#page=4" TargetMode="External"/><Relationship Id="rId36" Type="http://schemas.openxmlformats.org/officeDocument/2006/relationships/hyperlink" Target="validation_reports/47_2_East_China_Sea_%282018%29/geography/geographic_assessment.json" TargetMode="External"/><Relationship Id="rId37" Type="http://schemas.openxmlformats.org/officeDocument/2006/relationships/hyperlink" Target="validation_reports/47_2_East_China_Sea_%282018%29/geography/study_area_reconstructed.geojson" TargetMode="External"/><Relationship Id="rId3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Regional model validation template</dc:title>
  <dc:subject>Reusable evidence summary and LLM completion instructions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