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Kuroshio Current regional model validation</w:t>
      </w:r>
      <w:r>
        <w:rPr>
          <w:sz w:val="20"/>
        </w:rPr>
        <w:br/>
        <w:t>Regional review completed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Kuroshio Current, LME_049. The source spans coastal and offshore western North Pacific blocks.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Sea Around Us v50.1, 1950–2019 reconstructed catch. Reference: 2019 landings; all 253 reporting labels, including zero catch.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Watari et al. (2019). Ecosystem modeling in the western North Pacific using Ecopath, with a focus on small pelagic fishes. DOI 10.3354/meps12508. Main PDF verified; supplementary text only partially readable.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Original article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Partial supplement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Chen et al. (2025), Study in the ecosystem structure and trophodynamics in the Kuroshio-Oyashio Extension area. One 25-group 2023 offshore survey model; conditional GE, TE and Egestion diagnostics FAIL. Not selected.</w:t>
            </w:r>
            <w:r>
              <w:t xml:space="preserve"> </w:t>
            </w:r>
            <w:hyperlink r:id="rId13">
              <w:r>
                <w:rPr>
                  <w:color w:val="0563C1"/>
                  <w:u w:val="single"/>
                </w:rPr>
                <w:t>Main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49_2019201301_Watari_Detritus_Pooled_Experiment_(2013). One static 2013 assumption scenario: 35 consumers, 3 spatial phytoplankton and pooled detritus; 39 source groups plus computational import 40. Source area 913,102 km².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Accepted model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Original 41-group Watari 2013 model retains three spatial detritus pools. Missing between-pool routing blocks its source-faithful SPPR load. OYC, KC and OF form one linked model; they are not three independent baselines.</w:t>
            </w:r>
            <w:r>
              <w:t xml:space="preserve"> </w:t>
            </w:r>
            <w:hyperlink r:id="rId15">
              <w:r>
                <w:rPr>
                  <w:color w:val="0563C1"/>
                  <w:u w:val="single"/>
                </w:rPr>
                <w:t>Original model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Article — User preferred the finer 41-group source structure.</w:t>
              <w:br/>
              <w:t>Model — User selected detritus-only pooling because source routing is unavailable. Cross-block mixing and full internal retention remain assumptions; selection does not establish scientific validity.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Accepted pooling sums total-area detritus B to 44.12 without second habitat weighting. Canonical non-detritus inputs remain exact. Retained loader changes include 83 normalized diet cells, missing/default GS/catches, seabird B=1 and PB=QB=0, and solved BA. Pooled detritus BA +1,021.626599 is computational closure, not measured change.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Source and runtime differences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No negative SPPR entries across the basal-source columns. rho_living=0.33343023; b=0.04017288; pooled Detritus 39 SPPR=1.40229805.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Full source matrices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Detritus (pooled OYC KC OF; experiment) 39 → Seabirds (all) 3; Phytoplankton (OYC) 36 → Seabirds (all) 3; Phytoplankton (KC) 37 → Seabirds (all) 3; Phytoplankton (OF) 38 → Seabirds (all) 3. TE FAIL remains. rho_living=0.54627838; b=0.00000000; pooled Detritus 39 SPPR=0.64654301. b=0 is the TE convention.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Full source matrices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A. Region covered by study: approximately 30–36%.</w:t>
              <w:br/>
              <w:t>B. Study covered by region: approximately 49–51%.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Static 2013 coefficients and fixed source-catch/biomass proportions transfer across 1950–2019 whole-LME landings, catch and discards. Reference 2019 is six years later. This does not reconstruct annual ecosystem dynamics or observed spatial catch composition.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GE and With Egestion retain threshold OK with strict SPPR balance false. All 600 source-matrix entries were checked, including unfished groups. Near-singular TE and existing MC 0/100 accepted remain; the cause is deferred. Partial later supplement and habitat proxies limit membership. Global diagnostic returned no object.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Diagnostics and limits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Reference: 2019 landings; all source scope, all exact reporting labels, no group filter.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39 source groups (+1 computational import); 253 catch taxa.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Simple-chain PPR totals 180,683,377.69 t C in 2019.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24 labels lack a classic coefficient/TL; all have zero 2019 landings and zero annual contribution. Unknown coefficients and TL remain ?.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Method: protected independent simple trophic-chain coefficients.</w:t>
      </w:r>
    </w:p>
    <w:p>
      <w:pPr>
        <w:keepNext w:val="0"/>
        <w:pageBreakBefore w:val="0"/>
        <w:spacing w:after="120"/>
      </w:pPr>
      <w:hyperlink r:id="rId18">
        <w:r>
          <w:rPr>
            <w:color w:val="0563C1"/>
            <w:u w:val="single"/>
          </w:rPr>
          <w:t>All 253 taxon mappings</w:t>
        </w:r>
      </w:hyperlink>
      <w:r>
        <w:t xml:space="preserve"> and </w:t>
      </w:r>
      <w:hyperlink r:id="rId19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35.2337%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29.2963%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143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31.8095%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51.7575%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32.9568%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18.9463%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Exact species explicitly named by the selected source.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27.3207%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Assumed eligible source family or spatial/depth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23.5701%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Supported ecological extension to a represented guild.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21.6600%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Closest represented habitat/taxonomic analogue, with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12.6790%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Supported extension from named source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6.5274%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Broad reporting union approximated across compatible pools.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6.2673%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Authoritatively verified source-to-reporting synonym.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1.9756%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Partial ecological fit with a material source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0">
        <w:r>
          <w:rPr>
            <w:color w:val="0563C1"/>
            <w:u w:val="single"/>
          </w:rPr>
          <w:t>main Table 1 and Section 2.3</w:t>
        </w:r>
      </w:hyperlink>
      <w:r>
        <w:t xml:space="preserve">, </w:t>
      </w:r>
      <w:hyperlink r:id="rId12">
        <w:r>
          <w:rPr>
            <w:color w:val="0563C1"/>
            <w:u w:val="single"/>
          </w:rPr>
          <w:t>partial Supplement 1</w:t>
        </w:r>
      </w:hyperlink>
      <w:r>
        <w:t xml:space="preserve">, </w:t>
      </w:r>
      <w:hyperlink r:id="rId21">
        <w:r>
          <w:rPr>
            <w:color w:val="0563C1"/>
            <w:u w:val="single"/>
          </w:rPr>
          <w:t>exact taxonomy and traits</w:t>
        </w:r>
      </w:hyperlink>
      <w:r>
        <w:t xml:space="preserve"> and </w:t>
      </w:r>
      <w:hyperlink r:id="rId22">
        <w:r>
          <w:rPr>
            <w:color w:val="0563C1"/>
            <w:u w:val="single"/>
          </w:rPr>
          <w:t>all decisions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One reviewed group;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54.5095%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Complete whole-domain biomass after incomplete/censored catch.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29.6102%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Complete printed source Landings proportions, used as a proxy.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15.8803%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 xml:space="preserve">Weights and assumptions: complete 2013 source Landings first; otherwise complete total-area biomass. Censored &lt;0.01 and dash/missing catch never become measured zero. No second habitat fraction is applied. Proxies assume composition/catchability and remain fixed across years and catch bases. No usable source catch time-series or observed caught-stage split was recovered. Each table partitions the same simple-chain PPR. </w:t>
      </w:r>
      <w:hyperlink r:id="rId23">
        <w:r>
          <w:rPr>
            <w:color w:val="0563C1"/>
            <w:u w:val="single"/>
          </w:rPr>
          <w:t>Complete candidate vectors</w:t>
        </w:r>
      </w:hyperlink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 xml:space="preserve">Unresolved: none. Very low: 94 labels account for 32.9568% of landings and 18.9463% of simple-chain PPR. They include broad bony/invertebrate pools and unrepresented reef/deep fish, jellyfish and benthic cephalopods. Broad Sepiida includes bobtail depth habitats; narrower octopus/cuttlefish labels use benthos analogues. Very low all-source model PPR shares: GE 13.71%; TE 24.49%; With Egestion 15.10%; TE remains failed. </w:t>
      </w:r>
      <w:hyperlink r:id="rId18">
        <w:r>
          <w:rPr>
            <w:color w:val="0563C1"/>
            <w:u w:val="single"/>
          </w:rPr>
          <w:t>Exact flagged appendix rows</w:t>
        </w:r>
      </w:hyperlink>
      <w:r>
        <w:t xml:space="preserve"> | </w:t>
      </w:r>
      <w:hyperlink r:id="rId24">
        <w:r>
          <w:rPr>
            <w:color w:val="0563C1"/>
            <w:u w:val="single"/>
          </w:rPr>
          <w:t>Largest method contributors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rPr>
          <w:rFonts w:ascii="Calibri" w:hAnsi="Calibri"/>
          <w:sz w:val="21"/>
          <w:color w:val="000000"/>
        </w:rPr>
        <w:t>R is the Sea Around Us Kuroshio Current LME. S is the calibrated colored KC/OYC/OF footprint in original Figure 1. This graphical reconstruction has Low confidence; enclosing 30–50°N/150°E prose does not establish a full rectangular study polygon.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Target LME049 and calibrated source-colored domain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983480" cy="3876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trace_control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387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Target R: 1,320,443 km². Central trace S: 887,821 km²; intersection 448,167 km². Approximate A/B ranges include ±0.10° graphical sensitivity. Fourteen ordered water/land controls pass. Generalized coastline and schematic grid boundaries limit accuracy. </w:t>
      </w:r>
      <w:r>
        <w:t xml:space="preserve"> </w:t>
      </w:r>
      <w:hyperlink r:id="rId27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8">
        <w:r>
          <w:rPr>
            <w:color w:val="0563C1"/>
            <w:u w:val="single"/>
          </w:rPr>
          <w:t>Calibrated trace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Original Figure 1 with coastal and offshore study blocks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983480" cy="37977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1_nativ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3797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Original main PDF 3/printed 296. KC and OYC are coastal water pools; offshore OF is the colored stepped wedge. Current arrows and the transition-zone ellipse are overlays, not water exclusions. Published source area 913,102 km² is separate from traced area. No geographic multiplier is applied. </w:t>
      </w:r>
      <w:r>
        <w:t xml:space="preserve"> </w:t>
      </w:r>
      <w:hyperlink r:id="rId29">
        <w:r>
          <w:rPr>
            <w:color w:val="0563C1"/>
            <w:u w:val="single"/>
          </w:rPr>
          <w:t>Original Figure 1</w:t>
        </w:r>
      </w:hyperlink>
      <w:r>
        <w:t xml:space="preserve"> | </w:t>
      </w:r>
      <w:hyperlink r:id="rId30">
        <w:r>
          <w:rPr>
            <w:color w:val="0563C1"/>
            <w:u w:val="single"/>
          </w:rPr>
          <w:t>Assessment and controls</w:t>
        </w:r>
      </w:hyperlink>
    </w:p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>Figure 1 and methods give KC 186,220 and OYC 186,128 km²; Table 4 reverses those labels while preserving the total. The discrepancy is retained as source context without changing accepted model inputs.</w:t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49.xlsx" TargetMode="External"/><Relationship Id="rId10" Type="http://schemas.openxmlformats.org/officeDocument/2006/relationships/hyperlink" Target="raw/LME_049-catch.zip" TargetMode="External"/><Relationship Id="rId11" Type="http://schemas.openxmlformats.org/officeDocument/2006/relationships/hyperlink" Target="papers/KUR-2019/Watari-Ecosystemmodelingwestern-2019.pdf" TargetMode="External"/><Relationship Id="rId12" Type="http://schemas.openxmlformats.org/officeDocument/2006/relationships/hyperlink" Target="validation_reports/49_2019201301_Watari_Detritus_Pooled_Experiment_%282013%29/publisher_supplement_web_reader.json" TargetMode="External"/><Relationship Id="rId13" Type="http://schemas.openxmlformats.org/officeDocument/2006/relationships/hyperlink" Target="papers/KUR-2025/1-s2.0-S0304380025001371-main.pdf" TargetMode="External"/><Relationship Id="rId14" Type="http://schemas.openxmlformats.org/officeDocument/2006/relationships/hyperlink" Target="models/49_2019201301_Watari_Detritus_Pooled_Experiment_%282013%29/model.json" TargetMode="External"/><Relationship Id="rId15" Type="http://schemas.openxmlformats.org/officeDocument/2006/relationships/hyperlink" Target="models/49_20192013_Western_North_Pacific_Watari_%282013%29/model.json" TargetMode="External"/><Relationship Id="rId16" Type="http://schemas.openxmlformats.org/officeDocument/2006/relationships/hyperlink" Target="validation_reports/49_2019201301_Watari_Detritus_Pooled_Experiment_%282013%29/source_review.md" TargetMode="External"/><Relationship Id="rId17" Type="http://schemas.openxmlformats.org/officeDocument/2006/relationships/hyperlink" Target="validation_reports/49_2019201301_Watari_Detritus_Pooled_Experiment_%282013%29/matrix_inspection.json" TargetMode="External"/><Relationship Id="rId18" Type="http://schemas.openxmlformats.org/officeDocument/2006/relationships/hyperlink" Target="LME049_taxon_mapping_appendix.xlsx" TargetMode="External"/><Relationship Id="rId19" Type="http://schemas.openxmlformats.org/officeDocument/2006/relationships/hyperlink" Target="LME049_taxon_mapping_appendix.xlsx#Sources%21A1" TargetMode="External"/><Relationship Id="rId20" Type="http://schemas.openxmlformats.org/officeDocument/2006/relationships/hyperlink" Target="papers/KUR-2019/Watari-Ecosystemmodelingwestern-2019.pdf#page=5" TargetMode="External"/><Relationship Id="rId21" Type="http://schemas.openxmlformats.org/officeDocument/2006/relationships/hyperlink" Target="validation_reports/49_2019201301_Watari_Detritus_Pooled_Experiment_%282013%29/appendix_sources.json" TargetMode="External"/><Relationship Id="rId22" Type="http://schemas.openxmlformats.org/officeDocument/2006/relationships/hyperlink" Target="validation_reports/49_2019201301_Watari_Detritus_Pooled_Experiment_%282013%29/taxon_audit.json" TargetMode="External"/><Relationship Id="rId23" Type="http://schemas.openxmlformats.org/officeDocument/2006/relationships/hyperlink" Target="validation_reports/49_2019201301_Watari_Detritus_Pooled_Experiment_%282013%29/candidate_and_allocation_evidence.json" TargetMode="External"/><Relationship Id="rId24" Type="http://schemas.openxmlformats.org/officeDocument/2006/relationships/hyperlink" Target="validation_reports/49_2019201301_Watari_Detritus_Pooled_Experiment_%282013%29/method_specific_mapping_exposure.json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hyperlink" Target="validation_reports/49_2019201301_Watari_Detritus_Pooled_Experiment_%282013%29/geography/target_LME049.geojson" TargetMode="External"/><Relationship Id="rId28" Type="http://schemas.openxmlformats.org/officeDocument/2006/relationships/hyperlink" Target="validation_reports/49_2019201301_Watari_Detritus_Pooled_Experiment_%282013%29/geography/Figure1_colored_study_trace_draft.geojson" TargetMode="External"/><Relationship Id="rId29" Type="http://schemas.openxmlformats.org/officeDocument/2006/relationships/hyperlink" Target="papers/KUR-2019/Watari-Ecosystemmodelingwestern-2019.pdf#page=3" TargetMode="External"/><Relationship Id="rId30" Type="http://schemas.openxmlformats.org/officeDocument/2006/relationships/hyperlink" Target="validation_reports/49_2019201301_Watari_Detritus_Pooled_Experiment_%282013%29/geography/geography_trace_assessmen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