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Sea of Okhotsk regional model validation</w:t>
      </w:r>
      <w:r>
        <w:rPr>
          <w:sz w:val="20"/>
        </w:rPr>
        <w:br/>
        <w:t>Regional review completed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3"/>
        <w:gridCol w:w="7834"/>
      </w:tblGrid>
      <w:tr>
        <w:trPr>
          <w:cantSplit/>
          <w:tblHeader/>
          <w:tblHeader/>
          <w:cantSplit/>
        </w:trPr>
        <w:tc>
          <w:tcPr>
            <w:tcW w:type="dxa" w:w="2203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type="dxa" w:w="783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>Sea of Okhotsk, LME_052. The selected model describes the whole sea.</w:t>
            </w:r>
            <w:r>
              <w:t xml:space="preserve"> </w:t>
            </w:r>
            <w:hyperlink r:id="rId9">
              <w:r>
                <w:rPr>
                  <w:color w:val="0563C1"/>
                  <w:u w:val="single"/>
                </w:rPr>
                <w:t>Regional workbook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>Sea Around Us, 1950–2019 reconstructed catch. Reference: 2019 landings; all 151 exact reporting labels, including zero catch.</w:t>
            </w:r>
            <w:r>
              <w:t xml:space="preserve"> </w:t>
            </w:r>
            <w:hyperlink r:id="rId10">
              <w:r>
                <w:rPr>
                  <w:color w:val="0563C1"/>
                  <w:u w:val="single"/>
                </w:rPr>
                <w:t>Original catch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>Chaikina (2004), A trophic mass-balance model of the Sea of Okhotsk for the 1980s period. BSc thesis, UBC, 49 pages. Original thesis unavailable. A related 2020 chapter documents the earlier model.</w:t>
            </w:r>
            <w:r>
              <w:t xml:space="preserve"> </w:t>
            </w:r>
            <w:hyperlink r:id="rId11">
              <w:r>
                <w:rPr>
                  <w:color w:val="0563C1"/>
                  <w:u w:val="single"/>
                </w:rPr>
                <w:t>Thesis listing</w:t>
              </w:r>
            </w:hyperlink>
            <w:r>
              <w:t xml:space="preserve"> | </w:t>
            </w:r>
            <w:hyperlink r:id="rId12">
              <w:r>
                <w:rPr>
                  <w:color w:val="0563C1"/>
                  <w:u w:val="single"/>
                </w:rPr>
                <w:t>Related chapter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>Radchenko (2015), Characterization of the Sea of Okhotsk Ecosystem Based on Ecosystem Modelling. A 48-group contemporary model is retained as an alternative; full reconstruction is unreviewed.</w:t>
            </w:r>
            <w:r>
              <w:t xml:space="preserve"> </w:t>
            </w:r>
            <w:hyperlink r:id="rId13">
              <w:r>
                <w:rPr>
                  <w:color w:val="0563C1"/>
                  <w:u w:val="single"/>
                </w:rPr>
                <w:t>Alternative article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>52_1_Sea_of_Okhotsk_NE_(1980). NE means newly constructed detailed Ecopath. It is a whole-sea 1980s annual-average model with 29 source groups and computational import 30. Reported area: 1,590,000 km².</w:t>
            </w:r>
            <w:r>
              <w:t xml:space="preserve"> </w:t>
            </w:r>
            <w:hyperlink r:id="rId14">
              <w:r>
                <w:rPr>
                  <w:color w:val="0563C1"/>
                  <w:u w:val="single"/>
                </w:rPr>
                <w:t>Accepted model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Other models from the same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>The same source also compares a simplified nine-group SD 1980s model derived from the Shuntov–Dulepova food web. NE and SD are model structures, not northeastern and southern subregions.</w:t>
            </w:r>
            <w:r>
              <w:t xml:space="preserve"> </w:t>
            </w:r>
            <w:hyperlink r:id="rId15">
              <w:r>
                <w:rPr>
                  <w:color w:val="0563C1"/>
                  <w:u w:val="single"/>
                </w:rPr>
                <w:t>Simplified model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>Article — Retained as the broadest located whole-sea model despite incomplete original documentation.</w:t>
              <w:br/>
              <w:t>Model — The detailed NE structure supplies finer biological resolution; existing numerical caveats remain.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>All supplied native Table 1 B/PB/QB/EE values agree with accepted inputs. The accepted diet contains 74 normalized cells from eight printed columns totaling 0.998–1.001. Native catch fields and pollock cutoff are absent; export zeros, detritus B=1 and existing defaults/balance remain accepted assumptions.</w:t>
            </w:r>
            <w:r>
              <w:t xml:space="preserve"> </w:t>
            </w:r>
            <w:hyperlink r:id="rId16">
              <w:r>
                <w:rPr>
                  <w:color w:val="0563C1"/>
                  <w:u w:val="single"/>
                </w:rPr>
                <w:t>Source fidelity</w:t>
              </w:r>
            </w:hyperlink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SPPR calculation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[MANUAL — Researcher: calculation choices and reasons]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[Excluded groups, scope and relevant values; other adjustments]</w:t>
            </w:r>
          </w:p>
        </w:tc>
      </w:tr>
    </w:tbl>
    <w:p>
      <w:pPr>
        <w:spacing w:after="40" w:before="0" w:line="240" w:lineRule="auto"/>
        <w:pageBreakBefore/>
      </w:pPr>
      <w:r>
        <w:rPr>
          <w:rFonts w:ascii="Calibri" w:hAnsi="Calibri"/>
          <w:sz w:val="2"/>
          <w:color w:val="00000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3"/>
        <w:gridCol w:w="7834"/>
      </w:tblGrid>
      <w:tr>
        <w:trPr>
          <w:cantSplit/>
          <w:tblHeader/>
          <w:tblHeader/>
          <w:cantSplit/>
        </w:trPr>
        <w:tc>
          <w:tcPr>
            <w:tcW w:type="dxa" w:w="2203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type="dxa" w:w="783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>No negative SPPR entries across the basal-source columns. rho_living=0.86716588; b=0.15204353; Detritus 29 SPPR=1.25101369.</w:t>
            </w:r>
            <w:r>
              <w:t xml:space="preserve"> </w:t>
            </w:r>
            <w:hyperlink r:id="rId17">
              <w:r>
                <w:rPr>
                  <w:color w:val="0563C1"/>
                  <w:u w:val="single"/>
                </w:rPr>
                <w:t>Full source matrices</w:t>
              </w:r>
            </w:hyperlink>
            <w:r>
              <w:t xml:space="preserve"> | </w:t>
            </w:r>
            <w:hyperlink r:id="rId18">
              <w:r>
                <w:rPr>
                  <w:color w:val="0563C1"/>
                  <w:u w:val="single"/>
                </w:rPr>
                <w:t>Signed entries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>Detritus 29 → Cottidae 14, Other Gadidae 12, Pinnipeds 4, Toothed whales 2; Phytoplankton 28 → Cottidae 14, Other Gadidae 12, Pinnipeds 4, Toothed whales 2; Phytobenthos 27 → Cottidae 14, Other Gadidae 12, Pinnipeds 4, Toothed whales 2. All 12 pairs are retained, including unfished mammals. TE FAIL remains. rho_living=1.02512005; b=0.00000000; Detritus 29 SPPR=0.94864761. b=0 is the TE convention.</w:t>
            </w:r>
            <w:r>
              <w:t xml:space="preserve"> </w:t>
            </w:r>
            <w:hyperlink r:id="rId17">
              <w:r>
                <w:rPr>
                  <w:color w:val="0563C1"/>
                  <w:u w:val="single"/>
                </w:rPr>
                <w:t>Full source matrices</w:t>
              </w:r>
            </w:hyperlink>
            <w:r>
              <w:t xml:space="preserve"> | </w:t>
            </w:r>
            <w:hyperlink r:id="rId18">
              <w:r>
                <w:rPr>
                  <w:color w:val="0563C1"/>
                  <w:u w:val="single"/>
                </w:rPr>
                <w:t>Signed entries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>A. Region covered by study: approximately 100% under the intended whole-sea proxy.</w:t>
              <w:br/>
              <w:t>B. Study covered by region: approximately 100% under that proxy. Author boundaries are unavailable; exact overlap is unmeasured and boundary confidence is Low.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>Static 1980s coefficients and fixed biomass proportions transfer across 1950–2019 whole-LME landings, catch and discards. Reference 2019 is roughly three decades later. Seasonal source averaging does not reconstruct annual catch composition or ecosystem change.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>GE and With Egestion return WARN; TE returns FAIL. All 120 source-recipient entries per method were inspected, including unfished groups and import. Inherited near-singular MC TE and negative/unsupported methods remain. Expanded mapping cannot approve these failed results.</w:t>
            </w:r>
            <w:r>
              <w:t xml:space="preserve"> </w:t>
            </w:r>
            <w:hyperlink r:id="rId19">
              <w:r>
                <w:rPr>
                  <w:color w:val="0563C1"/>
                  <w:u w:val="single"/>
                </w:rPr>
                <w:t>Method exposure and signed contributions</w:t>
              </w:r>
            </w:hyperlink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[Researcher: open issues and next actions]</w:t>
              <w:br/>
              <w:t/>
              <w:br/>
              <w:t/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Researcher name: [name] | review date: [date]</w:t>
              <w:br/>
              <w:t/>
              <w:br/>
              <w:t/>
              <w:br/>
              <w:t/>
            </w:r>
          </w:p>
        </w:tc>
      </w:tr>
    </w:tbl>
    <w:p>
      <w:pPr>
        <w:keepNext/>
        <w:pageBreakBefore/>
        <w:spacing w:after="120"/>
      </w:pPr>
      <w:r>
        <w:rPr>
          <w:rFonts w:ascii="Calibri" w:hAnsi="Calibri"/>
          <w:b/>
          <w:color w:val="000000"/>
          <w:sz w:val="30"/>
        </w:rPr>
        <w:t>Taxon mapping and coverage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Reference: 2019 landings; all source scope, all reporting labels, no group filter.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29 source groups (+1 computational import); 151 catch taxa.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Simple-chain PPR totals 248,368,608.38 t C in 2019.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20 labels lack a classic coefficient/TL; all have zero 2019 landings and zero annual contribution. Unknown coefficients and TL remain ?.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Method: protected independent simple trophic-chain coefficients.</w:t>
      </w:r>
    </w:p>
    <w:p>
      <w:pPr>
        <w:keepNext w:val="0"/>
        <w:pageBreakBefore w:val="0"/>
        <w:spacing w:after="120"/>
      </w:pPr>
      <w:hyperlink r:id="rId20">
        <w:r>
          <w:rPr>
            <w:color w:val="0563C1"/>
            <w:u w:val="single"/>
          </w:rPr>
          <w:t>All 151 taxon mappings</w:t>
        </w:r>
      </w:hyperlink>
      <w:r>
        <w:t xml:space="preserve"> and </w:t>
      </w:r>
      <w:hyperlink r:id="rId21">
        <w:r>
          <w:rPr>
            <w:color w:val="0563C1"/>
            <w:u w:val="single"/>
          </w:rPr>
          <w:t>descriptive Sources sheet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/>
        <w:gridCol w:w="1440"/>
        <w:gridCol w:w="2304"/>
        <w:gridCol w:w="2376"/>
      </w:tblGrid>
      <w:tr>
        <w:trPr>
          <w:tblHeader/>
          <w:cantSplit/>
          <w:tblHeader/>
          <w:cantSplit/>
        </w:trPr>
        <w:tc>
          <w:tcPr>
            <w:tcW w:type="dxa" w:w="3888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Overall confidence</w:t>
            </w:r>
          </w:p>
        </w:tc>
        <w:tc>
          <w:tcPr>
            <w:tcW w:type="dxa" w:w="1440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Taxa</w:t>
            </w:r>
          </w:p>
        </w:tc>
        <w:tc>
          <w:tcPr>
            <w:tcW w:type="dxa" w:w="230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Catch percentage</w:t>
            </w:r>
          </w:p>
        </w:tc>
        <w:tc>
          <w:tcPr>
            <w:tcW w:type="dxa" w:w="2376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High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46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33.0296%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64.0466%</w:t>
            </w:r>
          </w:p>
        </w:tc>
      </w:tr>
      <w:tr>
        <w:trPr>
          <w:cantSplit/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Medium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56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55.8556%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31.4082%</w:t>
            </w:r>
          </w:p>
        </w:tc>
      </w:tr>
      <w:tr>
        <w:trPr>
          <w:cantSplit/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Low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0.0901%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0.3575%</w:t>
            </w:r>
          </w:p>
        </w:tc>
      </w:tr>
      <w:tr>
        <w:trPr>
          <w:cantSplit/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Very low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46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11.0196%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4.1872%</w:t>
            </w:r>
          </w:p>
        </w:tc>
      </w:tr>
      <w:tr>
        <w:trPr>
          <w:cantSplit/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Unresolved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0.0051%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0.0005%</w:t>
            </w:r>
          </w:p>
        </w:tc>
      </w:tr>
    </w:tbl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The summary uses the weaker required membership or allocation confidence. The following tables show each component separately.</w:t>
      </w:r>
    </w:p>
    <w:p>
      <w:pPr>
        <w:keepNext/>
        <w:pageBreakBefore w:val="0"/>
        <w:spacing w:after="120"/>
      </w:pPr>
      <w:r>
        <w:rPr>
          <w:rFonts w:ascii="Calibri" w:hAnsi="Calibri"/>
          <w:b/>
          <w:color w:val="000000"/>
          <w:sz w:val="23"/>
        </w:rPr>
        <w:t>Group assignment rules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  <w:tblHeader/>
          <w:cantSplit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Literal member or verified common-name crosswalk to a named taxonomic source pool.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92.5385%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Broad reporting union approximated across compatible source pools.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Very 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2.7698%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Inferred eligible regional family, depth, habitat or feeding set.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1.8253%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Represented ecological or lineage analogue with substantial mismatch.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Very 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1.4174%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Supported ecological extension to a represented feeding or habitat guild.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0.9010%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Partial or conflicting habitat fit with a material source mismatch.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0.3575%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Supported extension from a named, closely related regional representative.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0.1900%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No defensible source membership or complete analogue set established.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Unresolved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0.0005%</w:t>
            </w:r>
          </w:p>
        </w:tc>
      </w:tr>
    </w:tbl>
    <w:p>
      <w:pPr>
        <w:keepNext w:val="0"/>
        <w:pageBreakBefore w:val="0"/>
        <w:spacing w:after="120"/>
      </w:pPr>
      <w:r>
        <w:t xml:space="preserve">Membership evidence: </w:t>
      </w:r>
      <w:hyperlink r:id="rId22">
        <w:r>
          <w:rPr>
            <w:color w:val="0563C1"/>
            <w:u w:val="single"/>
          </w:rPr>
          <w:t>native Table 1 and diet</w:t>
        </w:r>
      </w:hyperlink>
      <w:r>
        <w:t xml:space="preserve">, </w:t>
      </w:r>
      <w:hyperlink r:id="rId23">
        <w:r>
          <w:rPr>
            <w:color w:val="0563C1"/>
            <w:u w:val="single"/>
          </w:rPr>
          <w:t>primary taxonomy and regional context</w:t>
        </w:r>
      </w:hyperlink>
      <w:r>
        <w:t xml:space="preserve"> and </w:t>
      </w:r>
      <w:hyperlink r:id="rId24">
        <w:r>
          <w:rPr>
            <w:color w:val="0563C1"/>
            <w:u w:val="single"/>
          </w:rPr>
          <w:t>all candidate decisions</w:t>
        </w:r>
      </w:hyperlink>
    </w:p>
    <w:p>
      <w:pPr>
        <w:keepNext/>
        <w:pageBreakBefore/>
        <w:spacing w:after="120"/>
      </w:pPr>
      <w:r>
        <w:rPr>
          <w:rFonts w:ascii="Calibri" w:hAnsi="Calibri"/>
          <w:b/>
          <w:color w:val="000000"/>
          <w:sz w:val="23"/>
        </w:rPr>
        <w:t>Allocation weight rules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  <w:tblHeader/>
          <w:cantSplit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One reviewed group receives all catch; no numerical split.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67.4159%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Complete source biomass after unavailable native catch; fixed composition and equal catchability assumed.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32.5836%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No numerical allocation without established membership.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Unresolved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0.0005%</w:t>
            </w:r>
          </w:p>
        </w:tc>
      </w:tr>
    </w:tbl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 xml:space="preserve">Weights and assumptions: native group catches are unavailable. Canonical export=0 is not an observed stage fraction. Complete source biomass supplies every multi-group vector at Medium allocation confidence. Pollock supplies 48.9157% of 2019 landings and is allocated 53.874619% adult/nonjuvenile and 46.125381% juvenile, with equal catchability assumed and no recovered cutoff. Fixed 1980s proportions apply across all years and catch bases. Each rule table partitions the same simple-chain PPR. </w:t>
      </w:r>
      <w:hyperlink r:id="rId25">
        <w:r>
          <w:rPr>
            <w:color w:val="0563C1"/>
            <w:u w:val="single"/>
          </w:rPr>
          <w:t>Complete candidate vectors</w:t>
        </w:r>
      </w:hyperlink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 xml:space="preserve">Unresolved: Cyprinidae, because unobserved freshwater family composition supplies no defensible local marine home. It retains 177.054315 t landings and 1,241.263560 t C classic PPR in the denominator. Very low: 46 labels, 11.0196% landings and 4.1872% classic PPR. These include broad bony/invertebrate unions and unrepresented cartilage, pelagic and grazing-fish analogues. Source Salmon is mostly zooplanktivorous, limiting tuna/shark transfer. Failed TE has signed caught contributions; ordinary positive confidence percentages are unavailable. </w:t>
      </w:r>
      <w:hyperlink r:id="rId20">
        <w:r>
          <w:rPr>
            <w:color w:val="0563C1"/>
            <w:u w:val="single"/>
          </w:rPr>
          <w:t>Flagged appendix rows</w:t>
        </w:r>
      </w:hyperlink>
      <w:r>
        <w:t xml:space="preserve"> | </w:t>
      </w:r>
      <w:hyperlink r:id="rId19">
        <w:r>
          <w:rPr>
            <w:color w:val="0563C1"/>
            <w:u w:val="single"/>
          </w:rPr>
          <w:t>Method contributors</w:t>
        </w:r>
      </w:hyperlink>
    </w:p>
    <w:p>
      <w:pPr>
        <w:pStyle w:val="Title"/>
        <w:pageBreakBefore/>
        <w:keepNext/>
        <w:pageBreakBefore/>
      </w:pPr>
      <w:r>
        <w:t>Geographic evidence screenshots</w:t>
      </w:r>
    </w:p>
    <w:p>
      <w:pPr>
        <w:spacing w:after="40" w:before="0" w:line="240" w:lineRule="auto"/>
      </w:pPr>
      <w:r>
        <w:rPr>
          <w:rFonts w:ascii="Calibri" w:hAnsi="Calibri"/>
          <w:sz w:val="21"/>
          <w:color w:val="000000"/>
        </w:rPr>
        <w:t>R is the Sea Around Us Sea of Okhotsk LME. S is described by the source as the whole sea. The displayed polygon reconstructs that intended domain using R; author GIS and a study-area map are unavailable. Approximate A/B values therefore describe the intended proxy, not measured overlap.</w:t>
      </w:r>
    </w:p>
    <w:p>
      <w:pPr>
        <w:pStyle w:val="Heading2"/>
        <w:keepNext/>
      </w:pPr>
      <w:r>
        <w:t>Region area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  <w:tblHeader/>
          <w:cantSplit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Target LME 052 and intended whole sea proxy</w:t>
            </w:r>
          </w:p>
        </w:tc>
      </w:tr>
      <w:tr>
        <w:trPr>
          <w:cantSplit/>
          <w:trHeight w:val="2880" w:hRule="atLeast"/>
          <w:cantSplit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4983480" cy="364987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_and_intended_domain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6498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240" w:lineRule="auto"/>
      </w:pPr>
      <w:r>
        <w:rPr>
          <w:rFonts w:ascii="Calibri" w:hAnsi="Calibri"/>
          <w:sz w:val="20"/>
          <w:color w:val="000000"/>
        </w:rPr>
        <w:t xml:space="preserve">WGS84 target area: 1,563,743 km². Source reported area: 1,590,000 km². Their area ratio is 98.3486% (target/source); it is not an overlap calculation. No geographic multiplier is applied. </w:t>
      </w:r>
      <w:r>
        <w:t xml:space="preserve"> </w:t>
      </w:r>
      <w:hyperlink r:id="rId28">
        <w:r>
          <w:rPr>
            <w:color w:val="0563C1"/>
            <w:u w:val="single"/>
          </w:rPr>
          <w:t>Target polygon</w:t>
        </w:r>
      </w:hyperlink>
      <w:r>
        <w:t xml:space="preserve"> | </w:t>
      </w:r>
      <w:hyperlink r:id="rId29">
        <w:r>
          <w:rPr>
            <w:color w:val="0563C1"/>
            <w:u w:val="single"/>
          </w:rPr>
          <w:t>Qualified geographic assessment</w:t>
        </w:r>
      </w:hyperlink>
    </w:p>
    <w:p>
      <w:pPr>
        <w:pStyle w:val="Heading2"/>
        <w:keepNext/>
        <w:pageBreakBefore/>
      </w:pPr>
      <w:r>
        <w:t>Study area in the article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  <w:tblHeader/>
          <w:cantSplit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Study area map unavailable   native methods excerpt</w:t>
            </w:r>
          </w:p>
        </w:tc>
      </w:tr>
      <w:tr>
        <w:trPr>
          <w:cantSplit/>
          <w:trHeight w:val="2880" w:hRule="atLeast"/>
          <w:cantSplit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4983480" cy="270587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tive_methods_excerpt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705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240" w:lineRule="auto"/>
      </w:pPr>
      <w:r>
        <w:rPr>
          <w:rFonts w:ascii="Calibri" w:hAnsi="Calibri"/>
          <w:sz w:val="20"/>
          <w:color w:val="000000"/>
        </w:rPr>
        <w:t xml:space="preserve">Related 2020 chapter PDF25 / printed24. The methods describe the whole sea and report 1,590,000 km². Chapter figures are food-web and simulation/results diagrams, not study-area maps. The excerpt supplies native geographic evidence while preserving the missing-map limitation. </w:t>
      </w:r>
      <w:r>
        <w:t xml:space="preserve"> </w:t>
      </w:r>
      <w:hyperlink r:id="rId30">
        <w:r>
          <w:rPr>
            <w:color w:val="0563C1"/>
            <w:u w:val="single"/>
          </w:rPr>
          <w:t>Native chapter</w:t>
        </w:r>
      </w:hyperlink>
      <w:r>
        <w:t xml:space="preserve"> | </w:t>
      </w:r>
      <w:hyperlink r:id="rId31">
        <w:r>
          <w:rPr>
            <w:color w:val="0563C1"/>
            <w:u w:val="single"/>
          </w:rPr>
          <w:t>Source identity review</w:t>
        </w:r>
      </w:hyperlink>
    </w:p>
    <w:p>
      <w:pPr>
        <w:spacing w:after="40" w:before="0" w:line="240" w:lineRule="auto"/>
      </w:pPr>
      <w:r>
        <w:rPr>
          <w:rFonts w:ascii="Calibri" w:hAnsi="Calibri"/>
          <w:sz w:val="20"/>
          <w:color w:val="000000"/>
        </w:rPr>
        <w:t>NE denotes the newly constructed detailed Ecopath model. The accepted identifier is retained; no northeastern boundary or original-thesis map is inferred.</w:t>
      </w:r>
    </w:p>
    <w:sectPr w:rsidR="00FC693F" w:rsidRPr="0006063C" w:rsidSect="00034616">
      <w:type w:val="nextPage"/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Validation1" Type="http://schemas.openxmlformats.org/officeDocument/2006/relationships/hyperlink" Target="[Excel_appendix.xlsx]" TargetMode="External"/><Relationship Id="rId9" Type="http://schemas.openxmlformats.org/officeDocument/2006/relationships/hyperlink" Target="LME_052.xlsx" TargetMode="External"/><Relationship Id="rId10" Type="http://schemas.openxmlformats.org/officeDocument/2006/relationships/hyperlink" Target="raw/LME_052-catch.zip" TargetMode="External"/><Relationship Id="rId11" Type="http://schemas.openxmlformats.org/officeDocument/2006/relationships/hyperlink" Target="https://www.seaaroundus.org/theses/" TargetMode="External"/><Relationship Id="rId12" Type="http://schemas.openxmlformats.org/officeDocument/2006/relationships/hyperlink" Target="papers/OKH-2004/Palomares20_FishCentResaRep28-440d8aa8.pdf#page=24" TargetMode="External"/><Relationship Id="rId13" Type="http://schemas.openxmlformats.org/officeDocument/2006/relationships/hyperlink" Target="papers/OKH-2015/tv_2015_t_155_article_7-21b7d68d.pdf" TargetMode="External"/><Relationship Id="rId14" Type="http://schemas.openxmlformats.org/officeDocument/2006/relationships/hyperlink" Target="models/52_1_Sea_of_Okhotsk_NE_%281980%29/model.json" TargetMode="External"/><Relationship Id="rId15" Type="http://schemas.openxmlformats.org/officeDocument/2006/relationships/hyperlink" Target="models/52_2_Sea_of_Okhotsk_SD_%281980%29/model.json" TargetMode="External"/><Relationship Id="rId16" Type="http://schemas.openxmlformats.org/officeDocument/2006/relationships/hyperlink" Target="validation_reports/52_1_Sea_of_Okhotsk_NE_%281980%29/source_review.md" TargetMode="External"/><Relationship Id="rId17" Type="http://schemas.openxmlformats.org/officeDocument/2006/relationships/hyperlink" Target="validation_reports/52_1_Sea_of_Okhotsk_NE_%281980%29/matrix_inspection.json" TargetMode="External"/><Relationship Id="rId18" Type="http://schemas.openxmlformats.org/officeDocument/2006/relationships/hyperlink" Target="validation_reports/52_1_Sea_of_Okhotsk_NE_%281980%29/negative_source_entries.json" TargetMode="External"/><Relationship Id="rId19" Type="http://schemas.openxmlformats.org/officeDocument/2006/relationships/hyperlink" Target="validation_reports/52_1_Sea_of_Okhotsk_NE_%281980%29/method_specific_mapping_exposure.json" TargetMode="External"/><Relationship Id="rId20" Type="http://schemas.openxmlformats.org/officeDocument/2006/relationships/hyperlink" Target="LME052_taxon_mapping_appendix.xlsx" TargetMode="External"/><Relationship Id="rId21" Type="http://schemas.openxmlformats.org/officeDocument/2006/relationships/hyperlink" Target="LME052_taxon_mapping_appendix.xlsx#Sources%21A1" TargetMode="External"/><Relationship Id="rId22" Type="http://schemas.openxmlformats.org/officeDocument/2006/relationships/hyperlink" Target="papers/OKH-2004/Palomares20_FishCentResaRep28-440d8aa8.pdf#page=27" TargetMode="External"/><Relationship Id="rId23" Type="http://schemas.openxmlformats.org/officeDocument/2006/relationships/hyperlink" Target="validation_reports/52_1_Sea_of_Okhotsk_NE_%281980%29/appendix_sources.json" TargetMode="External"/><Relationship Id="rId24" Type="http://schemas.openxmlformats.org/officeDocument/2006/relationships/hyperlink" Target="validation_reports/52_1_Sea_of_Okhotsk_NE_%281980%29/taxon_audit.json" TargetMode="External"/><Relationship Id="rId25" Type="http://schemas.openxmlformats.org/officeDocument/2006/relationships/hyperlink" Target="validation_reports/52_1_Sea_of_Okhotsk_NE_%281980%29/candidate_and_allocation_evidence.json" TargetMode="External"/><Relationship Id="rId26" Type="http://schemas.openxmlformats.org/officeDocument/2006/relationships/image" Target="media/image1.png"/><Relationship Id="rId27" Type="http://schemas.openxmlformats.org/officeDocument/2006/relationships/image" Target="media/image2.png"/><Relationship Id="rId28" Type="http://schemas.openxmlformats.org/officeDocument/2006/relationships/hyperlink" Target="validation_reports/52_1_Sea_of_Okhotsk_NE_%281980%29/geography/target_LME052.geojson" TargetMode="External"/><Relationship Id="rId29" Type="http://schemas.openxmlformats.org/officeDocument/2006/relationships/hyperlink" Target="validation_reports/52_1_Sea_of_Okhotsk_NE_%281980%29/geography/geography_assessment.json" TargetMode="External"/><Relationship Id="rId30" Type="http://schemas.openxmlformats.org/officeDocument/2006/relationships/hyperlink" Target="papers/OKH-2004/Palomares20_FishCentResaRep28-440d8aa8.pdf#page=25" TargetMode="External"/><Relationship Id="rId31" Type="http://schemas.openxmlformats.org/officeDocument/2006/relationships/hyperlink" Target="validation_reports/52_1_Sea_of_Okhotsk_NE_%281980%29/independent_source_review/source_identity_review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