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16B5E" w14:textId="77777777" w:rsidR="009E2FB4" w:rsidRDefault="009E2FB4">
      <w:pPr>
        <w:spacing w:before="2400"/>
      </w:pPr>
    </w:p>
    <w:p w14:paraId="0800AD46" w14:textId="77777777" w:rsidR="009E2FB4" w:rsidRDefault="00000000">
      <w:pPr>
        <w:spacing w:after="200"/>
        <w:jc w:val="center"/>
      </w:pPr>
      <w:r>
        <w:rPr>
          <w:rFonts w:eastAsia="Arial"/>
          <w:b/>
          <w:bCs/>
          <w:color w:val="999999"/>
          <w:sz w:val="28"/>
          <w:szCs w:val="28"/>
        </w:rPr>
        <w:t>투자 섹터 심층 분석 보고서</w:t>
      </w:r>
    </w:p>
    <w:p w14:paraId="1D040BC8" w14:textId="77777777" w:rsidR="009E2FB4" w:rsidRDefault="00000000">
      <w:pPr>
        <w:spacing w:after="100"/>
        <w:jc w:val="center"/>
      </w:pPr>
      <w:r>
        <w:rPr>
          <w:rFonts w:eastAsia="Arial"/>
          <w:b/>
          <w:bCs/>
          <w:color w:val="1B3A5C"/>
          <w:sz w:val="48"/>
          <w:szCs w:val="48"/>
        </w:rPr>
        <w:t>트럼프 온실가스 '위해성 판단' 폐지</w:t>
      </w:r>
    </w:p>
    <w:p w14:paraId="3F44B7B8" w14:textId="77777777" w:rsidR="009E2FB4" w:rsidRDefault="00000000">
      <w:pPr>
        <w:spacing w:after="400"/>
        <w:jc w:val="center"/>
      </w:pPr>
      <w:r>
        <w:rPr>
          <w:rFonts w:eastAsia="Arial"/>
          <w:b/>
          <w:bCs/>
          <w:color w:val="2C5F8A"/>
          <w:sz w:val="32"/>
          <w:szCs w:val="32"/>
        </w:rPr>
        <w:t>Endangerment Finding 폐지가 글로벌 투자 시장에 미치는 영향</w:t>
      </w:r>
    </w:p>
    <w:p w14:paraId="4A48F34C" w14:textId="77777777" w:rsidR="009E2FB4" w:rsidRDefault="00000000">
      <w:pPr>
        <w:spacing w:after="60"/>
        <w:jc w:val="center"/>
      </w:pPr>
      <w:r>
        <w:rPr>
          <w:color w:val="CCCCCC"/>
          <w:sz w:val="20"/>
          <w:szCs w:val="20"/>
        </w:rPr>
        <w:t>────────────────────────────────────────</w:t>
      </w:r>
    </w:p>
    <w:p w14:paraId="6BAA8233" w14:textId="77777777" w:rsidR="009E2FB4" w:rsidRDefault="00000000">
      <w:pPr>
        <w:spacing w:after="100"/>
        <w:jc w:val="center"/>
      </w:pPr>
      <w:proofErr w:type="spellStart"/>
      <w:r>
        <w:rPr>
          <w:rFonts w:eastAsia="Arial"/>
          <w:color w:val="666666"/>
          <w:sz w:val="24"/>
          <w:szCs w:val="24"/>
        </w:rPr>
        <w:t>트리플</w:t>
      </w:r>
      <w:proofErr w:type="spellEnd"/>
      <w:r>
        <w:rPr>
          <w:rFonts w:eastAsia="Arial"/>
          <w:color w:val="666666"/>
          <w:sz w:val="24"/>
          <w:szCs w:val="24"/>
        </w:rPr>
        <w:t xml:space="preserve"> </w:t>
      </w:r>
      <w:proofErr w:type="spellStart"/>
      <w:r>
        <w:rPr>
          <w:rFonts w:eastAsia="Arial"/>
          <w:color w:val="666666"/>
          <w:sz w:val="24"/>
          <w:szCs w:val="24"/>
        </w:rPr>
        <w:t>환경스캐닝</w:t>
      </w:r>
      <w:proofErr w:type="spellEnd"/>
      <w:r>
        <w:rPr>
          <w:rFonts w:eastAsia="Arial"/>
          <w:color w:val="666666"/>
          <w:sz w:val="24"/>
          <w:szCs w:val="24"/>
        </w:rPr>
        <w:t xml:space="preserve"> 시스템 (Triple Environmental Scanning System)</w:t>
      </w:r>
    </w:p>
    <w:p w14:paraId="0751C555" w14:textId="77777777" w:rsidR="009E2FB4" w:rsidRDefault="00000000">
      <w:pPr>
        <w:spacing w:after="60"/>
        <w:jc w:val="center"/>
      </w:pPr>
      <w:r>
        <w:rPr>
          <w:rFonts w:eastAsia="Arial"/>
          <w:color w:val="888888"/>
        </w:rPr>
        <w:t>WF3 시그널 심층 분석 보고서</w:t>
      </w:r>
    </w:p>
    <w:p w14:paraId="670C0972" w14:textId="77777777" w:rsidR="009E2FB4" w:rsidRDefault="00000000">
      <w:pPr>
        <w:spacing w:after="200"/>
        <w:jc w:val="center"/>
      </w:pPr>
      <w:r>
        <w:rPr>
          <w:rFonts w:eastAsia="Arial"/>
          <w:color w:val="888888"/>
        </w:rPr>
        <w:t>2026년 2월 13일</w:t>
      </w:r>
    </w:p>
    <w:p w14:paraId="53D343C3" w14:textId="77777777" w:rsidR="009E2FB4" w:rsidRDefault="00000000">
      <w:pPr>
        <w:spacing w:after="60"/>
        <w:jc w:val="center"/>
      </w:pPr>
      <w:proofErr w:type="spellStart"/>
      <w:r>
        <w:rPr>
          <w:rFonts w:eastAsia="Arial"/>
          <w:b/>
          <w:bCs/>
          <w:color w:val="CC6600"/>
          <w:sz w:val="20"/>
          <w:szCs w:val="20"/>
        </w:rPr>
        <w:t>pSST</w:t>
      </w:r>
      <w:proofErr w:type="spellEnd"/>
      <w:r>
        <w:rPr>
          <w:rFonts w:eastAsia="Arial"/>
          <w:b/>
          <w:bCs/>
          <w:color w:val="CC6600"/>
          <w:sz w:val="20"/>
          <w:szCs w:val="20"/>
        </w:rPr>
        <w:t xml:space="preserve"> 90/100 | FSSF: Wild Card | 전환점 경고: ORANGE</w:t>
      </w:r>
    </w:p>
    <w:p w14:paraId="6ADB7883" w14:textId="77777777" w:rsidR="009E2FB4" w:rsidRDefault="00000000">
      <w:r>
        <w:br w:type="page"/>
      </w:r>
    </w:p>
    <w:p w14:paraId="00AB3048" w14:textId="77777777" w:rsidR="009E2FB4" w:rsidRDefault="00000000">
      <w:pPr>
        <w:pStyle w:val="1"/>
      </w:pPr>
      <w:r>
        <w:lastRenderedPageBreak/>
        <w:t>시그널 개요</w:t>
      </w:r>
    </w:p>
    <w:p w14:paraId="4267E2D8" w14:textId="77777777" w:rsidR="009E2FB4" w:rsidRDefault="00000000">
      <w:pPr>
        <w:spacing w:before="120" w:after="120"/>
      </w:pPr>
      <w:proofErr w:type="spellStart"/>
      <w:r>
        <w:rPr>
          <w:rFonts w:eastAsia="Arial"/>
          <w:color w:val="333333"/>
        </w:rPr>
        <w:t>트리플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환경스캐닝</w:t>
      </w:r>
      <w:proofErr w:type="spellEnd"/>
      <w:r>
        <w:rPr>
          <w:rFonts w:eastAsia="Arial"/>
          <w:color w:val="333333"/>
        </w:rPr>
        <w:t xml:space="preserve"> 시스템이 탐지한 원본 시그널 정보는 다음과 같다.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9"/>
        <w:gridCol w:w="6639"/>
      </w:tblGrid>
      <w:tr w:rsidR="009E2FB4" w14:paraId="6F2C1E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26764426" w14:textId="77777777" w:rsidR="009E2FB4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22213648" w14:textId="77777777" w:rsidR="009E2FB4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E2FB4" w14:paraId="60AB7E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0AA5A218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타임라인 맵 위치</w:t>
            </w:r>
          </w:p>
        </w:tc>
        <w:tc>
          <w:tcPr>
            <w:tcW w:w="6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0F48387B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HIGH: 에너지·기후 변환, 2월 11일</w:t>
            </w:r>
          </w:p>
        </w:tc>
      </w:tr>
      <w:tr w:rsidR="009E2FB4" w14:paraId="0226E1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2E186174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시그널</w:t>
            </w:r>
          </w:p>
        </w:tc>
        <w:tc>
          <w:tcPr>
            <w:tcW w:w="6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785F7C0C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트럼프, 온실가스 '위해성 판단' 폐지 추진</w:t>
            </w:r>
          </w:p>
        </w:tc>
      </w:tr>
      <w:tr w:rsidR="009E2FB4" w14:paraId="72DC0F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28A7CE8B" w14:textId="77777777" w:rsidR="009E2FB4" w:rsidRDefault="00000000">
            <w:pPr>
              <w:spacing w:before="40" w:after="40"/>
              <w:ind w:left="80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pSST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점수</w:t>
            </w:r>
          </w:p>
        </w:tc>
        <w:tc>
          <w:tcPr>
            <w:tcW w:w="6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48AB68B0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90/100 (전체 8위)</w:t>
            </w:r>
          </w:p>
        </w:tc>
      </w:tr>
      <w:tr w:rsidR="009E2FB4" w14:paraId="230A91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7F50C909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FSSF 유형</w:t>
            </w:r>
          </w:p>
        </w:tc>
        <w:tc>
          <w:tcPr>
            <w:tcW w:w="6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593D62F7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Wild Card — 충격 극대, 경로 불확실</w:t>
            </w:r>
          </w:p>
        </w:tc>
      </w:tr>
      <w:tr w:rsidR="009E2FB4" w14:paraId="210FE8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678DC030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시간 지평</w:t>
            </w:r>
          </w:p>
        </w:tc>
        <w:tc>
          <w:tcPr>
            <w:tcW w:w="6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4412D205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H2 (2-7년)</w:t>
            </w:r>
          </w:p>
        </w:tc>
      </w:tr>
      <w:tr w:rsidR="009E2FB4" w14:paraId="4C618B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7A63CCC7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전환점 경고</w:t>
            </w:r>
          </w:p>
        </w:tc>
        <w:tc>
          <w:tcPr>
            <w:tcW w:w="6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61B3DE3C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ORANGE 등급</w:t>
            </w:r>
          </w:p>
        </w:tc>
      </w:tr>
      <w:tr w:rsidR="009E2FB4" w14:paraId="22388E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553FCF50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출처</w:t>
            </w:r>
          </w:p>
        </w:tc>
        <w:tc>
          <w:tcPr>
            <w:tcW w:w="6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0C012015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경향신문, 2026-02-10; WF3(네이버 뉴스)</w:t>
            </w:r>
          </w:p>
        </w:tc>
      </w:tr>
    </w:tbl>
    <w:p w14:paraId="6EB84DE1" w14:textId="77777777" w:rsidR="009E2FB4" w:rsidRDefault="00000000">
      <w:r>
        <w:br w:type="page"/>
      </w:r>
    </w:p>
    <w:p w14:paraId="2F90A122" w14:textId="77777777" w:rsidR="009E2FB4" w:rsidRDefault="00000000">
      <w:pPr>
        <w:pStyle w:val="1"/>
      </w:pPr>
      <w:r>
        <w:lastRenderedPageBreak/>
        <w:t>1. 위해성 판단(Endangerment Finding)이란?</w:t>
      </w:r>
    </w:p>
    <w:p w14:paraId="5A825A82" w14:textId="77777777" w:rsidR="009E2FB4" w:rsidRDefault="00000000">
      <w:pPr>
        <w:pStyle w:val="2"/>
      </w:pPr>
      <w:r>
        <w:t>1.1 법적 근거</w:t>
      </w:r>
    </w:p>
    <w:p w14:paraId="55D7202A" w14:textId="77777777" w:rsidR="009E2FB4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b/>
          <w:bCs/>
          <w:sz w:val="21"/>
          <w:szCs w:val="21"/>
        </w:rPr>
        <w:t xml:space="preserve">2007년 Massachusetts v. EPA 대법원 판결 (5:4): </w:t>
      </w:r>
      <w:r>
        <w:rPr>
          <w:rFonts w:eastAsia="Arial"/>
          <w:sz w:val="21"/>
          <w:szCs w:val="21"/>
        </w:rPr>
        <w:t>온실가스 = Clean Air Act상 "대기오염물질"로 인정. EPA</w:t>
      </w:r>
      <w:proofErr w:type="spellStart"/>
      <w:r>
        <w:rPr>
          <w:rFonts w:eastAsia="Arial"/>
          <w:sz w:val="21"/>
          <w:szCs w:val="21"/>
        </w:rPr>
        <w:t>에</w:t>
      </w:r>
      <w:proofErr w:type="spellEnd"/>
      <w:r>
        <w:rPr>
          <w:rFonts w:eastAsia="Arial"/>
          <w:sz w:val="21"/>
          <w:szCs w:val="21"/>
        </w:rPr>
        <w:t xml:space="preserve"> 위해성 판단 의무 부과</w:t>
      </w:r>
    </w:p>
    <w:p w14:paraId="38F9DD86" w14:textId="77777777" w:rsidR="009E2FB4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b/>
          <w:bCs/>
          <w:sz w:val="21"/>
          <w:szCs w:val="21"/>
        </w:rPr>
        <w:t xml:space="preserve">2009년 EPA 위해성 판단: </w:t>
      </w:r>
      <w:r>
        <w:rPr>
          <w:rFonts w:eastAsia="Arial"/>
          <w:sz w:val="21"/>
          <w:szCs w:val="21"/>
        </w:rPr>
        <w:t>6종 온실가스(CO₂, CH₄, N₂O, HFCs, PFCs, SF₆)가 공중 보건·복지를 위협한다고 공식 판정</w:t>
      </w:r>
    </w:p>
    <w:p w14:paraId="64B43797" w14:textId="77777777" w:rsidR="009E2FB4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b/>
          <w:bCs/>
          <w:sz w:val="21"/>
          <w:szCs w:val="21"/>
        </w:rPr>
        <w:t xml:space="preserve">2026년 2월 12일 폐지: </w:t>
      </w:r>
      <w:r>
        <w:rPr>
          <w:rFonts w:eastAsia="Arial"/>
          <w:sz w:val="21"/>
          <w:szCs w:val="21"/>
        </w:rPr>
        <w:t>EPA 관리자 Lee Zeldin이 공식 철회 — "미국 역사상 가장 대규모의 규제 완화 조치"</w:t>
      </w:r>
    </w:p>
    <w:p w14:paraId="70C59ADB" w14:textId="77777777" w:rsidR="009E2FB4" w:rsidRDefault="00000000">
      <w:pPr>
        <w:pStyle w:val="2"/>
      </w:pPr>
      <w:r>
        <w:t>1.2 폐지 시 무효화되는 연방 규제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799"/>
        <w:gridCol w:w="3239"/>
      </w:tblGrid>
      <w:tr w:rsidR="009E2FB4" w14:paraId="3AC54A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67D2BF30" w14:textId="77777777" w:rsidR="009E2FB4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규제 영역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1AFD8967" w14:textId="77777777" w:rsidR="009E2FB4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구체적 내용</w:t>
            </w:r>
          </w:p>
        </w:tc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0B8CFCA7" w14:textId="77777777" w:rsidR="009E2FB4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영향 규모</w:t>
            </w:r>
          </w:p>
        </w:tc>
      </w:tr>
      <w:tr w:rsidR="009E2FB4" w14:paraId="226735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3DB64464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자동차 배기가스 기준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146A733E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MY2012~2027+ 모든 차량/엔진 GHG 배출 기준</w:t>
            </w:r>
          </w:p>
        </w:tc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52D3CCDE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연간 ~1,700만 대 신차</w:t>
            </w:r>
          </w:p>
        </w:tc>
      </w:tr>
      <w:tr w:rsidR="009E2FB4" w14:paraId="2809A7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6C6CA864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발전소 탄소 규제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1F84F9E5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석탄/천연가스 발전소 CO₂ 배출 기준</w:t>
            </w:r>
          </w:p>
        </w:tc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4B737984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미국 전력 부문 전체</w:t>
            </w:r>
          </w:p>
        </w:tc>
      </w:tr>
      <w:tr w:rsidR="009E2FB4" w14:paraId="110AA6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155A7F5B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석유/가스 메탄 규제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4BD49389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시설 메탄 누출 규제</w:t>
            </w:r>
          </w:p>
        </w:tc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352CC191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전국 유정/가스정 수십만 개</w:t>
            </w:r>
          </w:p>
        </w:tc>
      </w:tr>
      <w:tr w:rsidR="009E2FB4" w14:paraId="5B9FAC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60A259A2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연비 기준 (CAFE)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4F559396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기업평균연비 기준의 법적 근거</w:t>
            </w:r>
          </w:p>
        </w:tc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210BC560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모든 자동차 제조사</w:t>
            </w:r>
          </w:p>
        </w:tc>
      </w:tr>
      <w:tr w:rsidR="009E2FB4" w14:paraId="6117D4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179ED0F7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HFC 규제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42C3476E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냉매 등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수소불화탄소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규제</w:t>
            </w:r>
          </w:p>
        </w:tc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58982D89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냉난방/산업용 냉매 시장</w:t>
            </w:r>
          </w:p>
        </w:tc>
      </w:tr>
    </w:tbl>
    <w:p w14:paraId="6A32F83E" w14:textId="77777777" w:rsidR="009E2FB4" w:rsidRDefault="00000000">
      <w:pPr>
        <w:spacing w:before="120" w:after="120"/>
        <w:ind w:left="360" w:right="360"/>
      </w:pPr>
      <w:r>
        <w:rPr>
          <w:rFonts w:eastAsia="Arial"/>
          <w:i/>
          <w:iCs/>
          <w:color w:val="8B4513"/>
          <w:sz w:val="20"/>
          <w:szCs w:val="20"/>
        </w:rPr>
        <w:t>백악관 주장: 소비자에 ~$1.3조 절감, 차량 1대당 $2,400+ 가격 인하</w:t>
      </w:r>
    </w:p>
    <w:p w14:paraId="406A4A13" w14:textId="77777777" w:rsidR="009E2FB4" w:rsidRDefault="00000000">
      <w:r>
        <w:br w:type="page"/>
      </w:r>
    </w:p>
    <w:p w14:paraId="48A895CA" w14:textId="77777777" w:rsidR="009E2FB4" w:rsidRDefault="00000000">
      <w:pPr>
        <w:pStyle w:val="1"/>
      </w:pPr>
      <w:r>
        <w:lastRenderedPageBreak/>
        <w:t>2. 직접 수혜 섹터 (규제 완화 → 비용 절감)</w:t>
      </w:r>
    </w:p>
    <w:p w14:paraId="06874CE3" w14:textId="77777777" w:rsidR="009E2FB4" w:rsidRDefault="00000000">
      <w:pPr>
        <w:pStyle w:val="2"/>
      </w:pPr>
      <w:r>
        <w:t>2.1 화석연료 (석유·천연가스·석탄)</w:t>
      </w:r>
    </w:p>
    <w:p w14:paraId="0F9D6687" w14:textId="77777777" w:rsidR="009E2FB4" w:rsidRDefault="00000000">
      <w:pPr>
        <w:spacing w:before="120" w:after="60"/>
      </w:pPr>
      <w:r>
        <w:rPr>
          <w:rFonts w:eastAsia="Arial"/>
          <w:b/>
          <w:bCs/>
          <w:color w:val="333333"/>
        </w:rPr>
        <w:t>수혜 메커니즘: 메탄 누출 규제 폐지 + 발전소 탄소 배출 기준 철폐 + 신규 시추 규제 완화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500"/>
        <w:gridCol w:w="3560"/>
        <w:gridCol w:w="1500"/>
      </w:tblGrid>
      <w:tr w:rsidR="009E2FB4" w14:paraId="3D8677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2472F627" w14:textId="77777777" w:rsidR="009E2FB4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ETF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6959F6FB" w14:textId="77777777" w:rsidR="009E2FB4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운용자산(AUM)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3B64D998" w14:textId="77777777" w:rsidR="009E2FB4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 보유 종목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26FC70F7" w14:textId="77777777" w:rsidR="009E2FB4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비용비율</w:t>
            </w:r>
          </w:p>
        </w:tc>
      </w:tr>
      <w:tr w:rsidR="009E2FB4" w14:paraId="32B195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6AB33115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XLE (Energy Select Sector SPDR)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776EF41A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315억 달러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769784D9" w14:textId="77777777" w:rsidR="009E2FB4" w:rsidRDefault="00000000">
            <w:pPr>
              <w:spacing w:before="40" w:after="40"/>
              <w:ind w:left="80"/>
            </w:pP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ExxonMobil(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24.95%), 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Chevron(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17.59%)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2DD07F54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0.09%</w:t>
            </w:r>
          </w:p>
        </w:tc>
      </w:tr>
      <w:tr w:rsidR="009E2FB4" w14:paraId="40687A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61B3D8A0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VDE (Vanguard Energy ETF)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4B8A5BB3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86억 달러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15ECB93F" w14:textId="77777777" w:rsidR="009E2FB4" w:rsidRDefault="00000000">
            <w:pPr>
              <w:spacing w:before="40" w:after="40"/>
              <w:ind w:left="80"/>
            </w:pP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ExxonMobil(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22.87%), 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Chevron(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15.02%)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358B69D9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0.09%</w:t>
            </w:r>
          </w:p>
        </w:tc>
      </w:tr>
      <w:tr w:rsidR="009E2FB4" w14:paraId="71A2EC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031D5FD8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XOP (SPDR S&amp;P Oil &amp; Gas E&amp;P)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18F28F07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2C65C3CE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균등가중 E&amp;P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57159285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0.35%</w:t>
            </w:r>
          </w:p>
        </w:tc>
      </w:tr>
    </w:tbl>
    <w:p w14:paraId="125BCC8E" w14:textId="77777777" w:rsidR="009E2FB4" w:rsidRDefault="00000000">
      <w:pPr>
        <w:pStyle w:val="3"/>
      </w:pPr>
      <w:r>
        <w:t>석탄 섹터 특수 상황</w:t>
      </w:r>
    </w:p>
    <w:p w14:paraId="66C319C2" w14:textId="77777777" w:rsidR="009E2FB4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 xml:space="preserve">2025.4 석탄 부양 행정명령 → Peabody +9.2%, </w:t>
      </w:r>
      <w:proofErr w:type="spellStart"/>
      <w:r>
        <w:rPr>
          <w:rFonts w:eastAsia="Arial"/>
          <w:sz w:val="21"/>
          <w:szCs w:val="21"/>
        </w:rPr>
        <w:t>Ramaco</w:t>
      </w:r>
      <w:proofErr w:type="spellEnd"/>
      <w:r>
        <w:rPr>
          <w:rFonts w:eastAsia="Arial"/>
          <w:sz w:val="21"/>
          <w:szCs w:val="21"/>
        </w:rPr>
        <w:t xml:space="preserve"> +13.9% (당일)</w:t>
      </w:r>
    </w:p>
    <w:p w14:paraId="65C00DD4" w14:textId="77777777" w:rsidR="009E2FB4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2026.2.11 국방부 석탄발전 구매 지시 → Peabody +4% (시간외)</w:t>
      </w:r>
    </w:p>
    <w:p w14:paraId="13DF5C81" w14:textId="77777777" w:rsidR="009E2FB4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b/>
          <w:bCs/>
          <w:color w:val="CC0000"/>
          <w:sz w:val="21"/>
          <w:szCs w:val="21"/>
        </w:rPr>
        <w:t xml:space="preserve">그러나: </w:t>
      </w:r>
      <w:r>
        <w:rPr>
          <w:rFonts w:eastAsia="Arial"/>
          <w:sz w:val="21"/>
          <w:szCs w:val="21"/>
        </w:rPr>
        <w:t>Peabody는 2024.11 선거일 대비 장기 -60% 하락 → 정책 모멘텀 ≠ 경제적 경쟁력</w:t>
      </w:r>
    </w:p>
    <w:p w14:paraId="7AEC7635" w14:textId="77777777" w:rsidR="009E2FB4" w:rsidRDefault="00000000">
      <w:pPr>
        <w:pStyle w:val="2"/>
      </w:pPr>
      <w:r>
        <w:t>2.2 자동차 OEM (배기가스 기준 완화)</w:t>
      </w:r>
    </w:p>
    <w:p w14:paraId="5C7FDC0B" w14:textId="77777777" w:rsidR="009E2FB4" w:rsidRDefault="00000000">
      <w:pPr>
        <w:spacing w:before="120" w:after="60"/>
      </w:pPr>
      <w:r>
        <w:rPr>
          <w:rFonts w:eastAsia="Arial"/>
          <w:b/>
          <w:bCs/>
          <w:color w:val="333333"/>
        </w:rPr>
        <w:t>수혜 메커니즘: EV 전환 압력 감소, 고수익 SUV/트럭 생산 유지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9"/>
        <w:gridCol w:w="6639"/>
      </w:tblGrid>
      <w:tr w:rsidR="009E2FB4" w14:paraId="1089BC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30297786" w14:textId="77777777" w:rsidR="009E2FB4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기업</w:t>
            </w:r>
          </w:p>
        </w:tc>
        <w:tc>
          <w:tcPr>
            <w:tcW w:w="6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41DB2E3D" w14:textId="77777777" w:rsidR="009E2FB4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수혜 포인트</w:t>
            </w:r>
          </w:p>
        </w:tc>
      </w:tr>
      <w:tr w:rsidR="009E2FB4" w14:paraId="1EAAB7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0F1E666A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GM (General Motors)</w:t>
            </w:r>
          </w:p>
        </w:tc>
        <w:tc>
          <w:tcPr>
            <w:tcW w:w="6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1C4BAFF9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SUV/트럭 중심 포트폴리오, EV 투자 축소 가능</w:t>
            </w:r>
          </w:p>
        </w:tc>
      </w:tr>
      <w:tr w:rsidR="009E2FB4" w14:paraId="6B162E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164F883E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Ford</w:t>
            </w:r>
          </w:p>
        </w:tc>
        <w:tc>
          <w:tcPr>
            <w:tcW w:w="6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042A6FF8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F-150/Bronco 대형차 수혜, 연비 페널티 감소</w:t>
            </w:r>
          </w:p>
        </w:tc>
      </w:tr>
      <w:tr w:rsidR="009E2FB4" w14:paraId="478B78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4D01A655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Stellantis</w:t>
            </w:r>
          </w:p>
        </w:tc>
        <w:tc>
          <w:tcPr>
            <w:tcW w:w="6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5356E491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RAM/Jeep 규제 준수 비용 절감</w:t>
            </w:r>
          </w:p>
        </w:tc>
      </w:tr>
      <w:tr w:rsidR="009E2FB4" w14:paraId="460962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4CA52590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Toyota</w:t>
            </w:r>
          </w:p>
        </w:tc>
        <w:tc>
          <w:tcPr>
            <w:tcW w:w="6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769ED2C9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하이브리드 리더, 규제 완화 후에도 기술 경쟁력 유지</w:t>
            </w:r>
          </w:p>
        </w:tc>
      </w:tr>
    </w:tbl>
    <w:p w14:paraId="71084D9C" w14:textId="77777777" w:rsidR="009E2FB4" w:rsidRDefault="00000000">
      <w:pPr>
        <w:spacing w:before="120" w:after="120"/>
        <w:ind w:left="360" w:right="360"/>
      </w:pPr>
      <w:r>
        <w:rPr>
          <w:rFonts w:eastAsia="Arial"/>
          <w:i/>
          <w:iCs/>
          <w:color w:val="8B4513"/>
          <w:sz w:val="20"/>
          <w:szCs w:val="20"/>
        </w:rPr>
        <w:t xml:space="preserve">Tesla 역풍: 2025년 </w:t>
      </w:r>
      <w:proofErr w:type="spellStart"/>
      <w:r>
        <w:rPr>
          <w:rFonts w:eastAsia="Arial"/>
          <w:i/>
          <w:iCs/>
          <w:color w:val="8B4513"/>
          <w:sz w:val="20"/>
          <w:szCs w:val="20"/>
        </w:rPr>
        <w:t>배출권</w:t>
      </w:r>
      <w:proofErr w:type="spellEnd"/>
      <w:r>
        <w:rPr>
          <w:rFonts w:eastAsia="Arial"/>
          <w:i/>
          <w:iCs/>
          <w:color w:val="8B4513"/>
          <w:sz w:val="20"/>
          <w:szCs w:val="20"/>
        </w:rPr>
        <w:t xml:space="preserve"> 판매로 28억 달러 수익 — 기준 폐지 시 다른 OEM의 구매 필요 소멸</w:t>
      </w:r>
    </w:p>
    <w:p w14:paraId="66963DC6" w14:textId="77777777" w:rsidR="009E2FB4" w:rsidRDefault="00000000">
      <w:pPr>
        <w:pStyle w:val="2"/>
      </w:pPr>
      <w:r>
        <w:t>2.3 중화학공업·항공·운송</w:t>
      </w:r>
    </w:p>
    <w:p w14:paraId="2CCCC88C" w14:textId="77777777" w:rsidR="009E2FB4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산업 시설 GHG 규제 완화, 연료비 절감, 탄소 컴플라이언스 비용 제거</w:t>
      </w:r>
    </w:p>
    <w:p w14:paraId="473660C0" w14:textId="77777777" w:rsidR="009E2FB4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b/>
          <w:bCs/>
          <w:sz w:val="21"/>
          <w:szCs w:val="21"/>
        </w:rPr>
        <w:t xml:space="preserve">항공: </w:t>
      </w:r>
      <w:r>
        <w:rPr>
          <w:rFonts w:eastAsia="Arial"/>
          <w:sz w:val="21"/>
          <w:szCs w:val="21"/>
        </w:rPr>
        <w:t>CORSIA 연계 연방 기준 완화 가능 → ETF: JETS</w:t>
      </w:r>
    </w:p>
    <w:p w14:paraId="0C2A80F1" w14:textId="77777777" w:rsidR="009E2FB4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b/>
          <w:bCs/>
          <w:sz w:val="21"/>
          <w:szCs w:val="21"/>
        </w:rPr>
        <w:t xml:space="preserve">트럭/해운: </w:t>
      </w:r>
      <w:r>
        <w:rPr>
          <w:rFonts w:eastAsia="Arial"/>
          <w:sz w:val="21"/>
          <w:szCs w:val="21"/>
        </w:rPr>
        <w:t>대형 상용차 GHG 기준 폐지 → UPS, FedEx, J.B. Hunt</w:t>
      </w:r>
    </w:p>
    <w:p w14:paraId="55A15333" w14:textId="77777777" w:rsidR="009E2FB4" w:rsidRDefault="00000000">
      <w:r>
        <w:br w:type="page"/>
      </w:r>
    </w:p>
    <w:p w14:paraId="2901A777" w14:textId="77777777" w:rsidR="009E2FB4" w:rsidRDefault="00000000">
      <w:pPr>
        <w:pStyle w:val="1"/>
      </w:pPr>
      <w:r>
        <w:lastRenderedPageBreak/>
        <w:t>3. 직접 피해 섹터 (규제 보호 약화 → 손실)</w:t>
      </w:r>
    </w:p>
    <w:p w14:paraId="3F825533" w14:textId="77777777" w:rsidR="009E2FB4" w:rsidRDefault="00000000">
      <w:pPr>
        <w:pStyle w:val="2"/>
      </w:pPr>
      <w:r>
        <w:t>3.1 재생에너지 (태양광·풍력·에너지저장)</w:t>
      </w:r>
    </w:p>
    <w:p w14:paraId="060B5E9F" w14:textId="77777777" w:rsidR="009E2FB4" w:rsidRDefault="00000000">
      <w:pPr>
        <w:spacing w:before="120" w:after="120"/>
      </w:pPr>
      <w:r>
        <w:rPr>
          <w:rFonts w:eastAsia="Arial"/>
          <w:b/>
          <w:bCs/>
          <w:color w:val="CC0000"/>
        </w:rPr>
        <w:t xml:space="preserve">이중 타격(Double Hit) 구조: </w:t>
      </w:r>
      <w:r>
        <w:rPr>
          <w:rFonts w:eastAsia="Arial"/>
        </w:rPr>
        <w:t>위해성 판단 폐지(법적 토대) + IRA 세액공제 가속 폐지(재정 인센티브) 동시 약화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600"/>
        <w:gridCol w:w="2000"/>
        <w:gridCol w:w="1240"/>
      </w:tblGrid>
      <w:tr w:rsidR="009E2FB4" w14:paraId="1A1813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7D39AC1C" w14:textId="77777777" w:rsidR="009E2FB4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ETF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288CB0C6" w14:textId="77777777" w:rsidR="009E2FB4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초점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3866667C" w14:textId="77777777" w:rsidR="009E2FB4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2025년 성과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4B76729F" w14:textId="77777777" w:rsidR="009E2FB4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비용비율</w:t>
            </w:r>
          </w:p>
        </w:tc>
      </w:tr>
      <w:tr w:rsidR="009E2FB4" w14:paraId="37B1D5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28BE8716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ICLN (iShares Global Clean Energy)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30511842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태양광/풍력/수력 글로벌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321C5779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+47%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045478FB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0.42%</w:t>
            </w:r>
          </w:p>
        </w:tc>
      </w:tr>
      <w:tr w:rsidR="009E2FB4" w14:paraId="6054C4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3C4EEE90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TAN (Invesco Solar ETF)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3B22DCE2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태양광 전용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4380AA62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높은 변동성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3A155B1A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—</w:t>
            </w:r>
          </w:p>
        </w:tc>
      </w:tr>
      <w:tr w:rsidR="009E2FB4" w14:paraId="5ED916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2F0AA8BF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QCLN (First Trust NASDAQ Clean Edge)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46F8772F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기술 중심 클린에너지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45013112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+24.1% YTD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59C46810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—</w:t>
            </w:r>
          </w:p>
        </w:tc>
      </w:tr>
    </w:tbl>
    <w:p w14:paraId="4943699B" w14:textId="77777777" w:rsidR="009E2FB4" w:rsidRDefault="00000000">
      <w:pPr>
        <w:pStyle w:val="3"/>
      </w:pPr>
      <w:r>
        <w:t>IRA 세액공제 가속 폐지 (OBBBA 법안, 2025.7 서명)</w:t>
      </w:r>
    </w:p>
    <w:p w14:paraId="3A372A3D" w14:textId="77777777" w:rsidR="009E2FB4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EV 세액공제 (Sec 30D, 25E, 45W): 2025년 9월 30일 종료</w:t>
      </w:r>
    </w:p>
    <w:p w14:paraId="715C3236" w14:textId="77777777" w:rsidR="009E2FB4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주거용 클린에너지 공제 (Sec 25C, 25D): 2025년 12월 31일 종료</w:t>
      </w:r>
    </w:p>
    <w:p w14:paraId="78FF2977" w14:textId="77777777" w:rsidR="009E2FB4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풍력/태양광 시설 (Sec 45Y): 2026년 7월 4일 이후 착공 시 제외</w:t>
      </w:r>
    </w:p>
    <w:p w14:paraId="6FE6B0FD" w14:textId="77777777" w:rsidR="009E2FB4" w:rsidRDefault="00000000">
      <w:pPr>
        <w:spacing w:before="120" w:after="120"/>
        <w:ind w:left="360" w:right="360"/>
      </w:pPr>
      <w:r>
        <w:rPr>
          <w:rFonts w:eastAsia="Arial"/>
          <w:i/>
          <w:iCs/>
          <w:color w:val="8B4513"/>
          <w:sz w:val="20"/>
          <w:szCs w:val="20"/>
        </w:rPr>
        <w:t>자금 유출: 트럼프 재선 후 Invesco Global Clean Energy ETF -4,300만 달러, iShares 펀드 -6,700만 달러</w:t>
      </w:r>
    </w:p>
    <w:p w14:paraId="0020D65F" w14:textId="77777777" w:rsidR="009E2FB4" w:rsidRDefault="00000000">
      <w:pPr>
        <w:pStyle w:val="2"/>
      </w:pPr>
      <w:r>
        <w:t xml:space="preserve">3.2 전기차/EV </w:t>
      </w:r>
      <w:proofErr w:type="spellStart"/>
      <w:r>
        <w:t>밸류체인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638"/>
      </w:tblGrid>
      <w:tr w:rsidR="009E2FB4" w14:paraId="6C7DF4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06CCA2C1" w14:textId="77777777" w:rsidR="009E2FB4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종목/ETF</w:t>
            </w:r>
          </w:p>
        </w:tc>
        <w:tc>
          <w:tcPr>
            <w:tcW w:w="6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738C67FB" w14:textId="77777777" w:rsidR="009E2FB4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핵심 영향</w:t>
            </w:r>
          </w:p>
        </w:tc>
      </w:tr>
      <w:tr w:rsidR="009E2FB4" w14:paraId="796B1F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3711D65C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Tesla (TSLA)</w:t>
            </w:r>
          </w:p>
        </w:tc>
        <w:tc>
          <w:tcPr>
            <w:tcW w:w="6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42595DAA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연 28억 달러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배출권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수입 위험</w:t>
            </w:r>
          </w:p>
        </w:tc>
      </w:tr>
      <w:tr w:rsidR="009E2FB4" w14:paraId="152929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1D9986BB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Rivian (RIVN)</w:t>
            </w:r>
          </w:p>
        </w:tc>
        <w:tc>
          <w:tcPr>
            <w:tcW w:w="6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25D27041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규제 인센티브 없이 순수 EV 경쟁력 약화</w:t>
            </w:r>
          </w:p>
        </w:tc>
      </w:tr>
      <w:tr w:rsidR="009E2FB4" w14:paraId="30793F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672C1269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LIT (Global X Lithium &amp; Battery Tech)</w:t>
            </w:r>
          </w:p>
        </w:tc>
        <w:tc>
          <w:tcPr>
            <w:tcW w:w="6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20CB4094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배터리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밸류체인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전체</w:t>
            </w:r>
          </w:p>
        </w:tc>
      </w:tr>
      <w:tr w:rsidR="009E2FB4" w14:paraId="00D5C4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3697A42C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DRIV (Global X Autonomous &amp; EV)</w:t>
            </w:r>
          </w:p>
        </w:tc>
        <w:tc>
          <w:tcPr>
            <w:tcW w:w="6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728203B9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EV/자율주행 테마</w:t>
            </w:r>
          </w:p>
        </w:tc>
      </w:tr>
    </w:tbl>
    <w:p w14:paraId="23F1519B" w14:textId="77777777" w:rsidR="009E2FB4" w:rsidRDefault="00000000">
      <w:pPr>
        <w:pStyle w:val="2"/>
      </w:pPr>
      <w:r>
        <w:t>3.3 탄소배출권/</w:t>
      </w:r>
      <w:proofErr w:type="spellStart"/>
      <w:r>
        <w:t>탄소크레딧</w:t>
      </w:r>
      <w:proofErr w:type="spellEnd"/>
      <w:r>
        <w:t xml:space="preserve"> 시장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9"/>
        <w:gridCol w:w="5839"/>
      </w:tblGrid>
      <w:tr w:rsidR="009E2FB4" w14:paraId="7AF638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7BD46B0B" w14:textId="77777777" w:rsidR="009E2FB4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5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1F1B7222" w14:textId="77777777" w:rsidR="009E2FB4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수치</w:t>
            </w:r>
          </w:p>
        </w:tc>
      </w:tr>
      <w:tr w:rsidR="009E2FB4" w14:paraId="47B74ED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52D213CF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미국 탄소배출권 시장</w:t>
            </w:r>
          </w:p>
        </w:tc>
        <w:tc>
          <w:tcPr>
            <w:tcW w:w="5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604EBD0C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77억 달러 (2025, 글로벌 34.7%)</w:t>
            </w:r>
          </w:p>
        </w:tc>
      </w:tr>
      <w:tr w:rsidR="009E2FB4" w14:paraId="0D2D0E9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5E57C9D8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글로벌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탄소크레딧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시장</w:t>
            </w:r>
          </w:p>
        </w:tc>
        <w:tc>
          <w:tcPr>
            <w:tcW w:w="5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68E75176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1,143억 달러 (2025) → 1,273억 달러 (2026E)</w:t>
            </w:r>
          </w:p>
        </w:tc>
      </w:tr>
      <w:tr w:rsidR="009E2FB4" w14:paraId="7F2A737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1495477E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준수 탄소시장 거래 총량</w:t>
            </w:r>
          </w:p>
        </w:tc>
        <w:tc>
          <w:tcPr>
            <w:tcW w:w="5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3DE46CB0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8,000억 달러 (2024)</w:t>
            </w:r>
          </w:p>
        </w:tc>
      </w:tr>
    </w:tbl>
    <w:p w14:paraId="1A9C08FA" w14:textId="77777777" w:rsidR="009E2FB4" w:rsidRDefault="00000000">
      <w:pPr>
        <w:spacing w:before="120" w:after="60"/>
      </w:pPr>
      <w:r>
        <w:rPr>
          <w:rFonts w:eastAsia="Arial"/>
          <w:b/>
          <w:bCs/>
          <w:color w:val="333333"/>
        </w:rPr>
        <w:t>대표 ETF: KRBN (</w:t>
      </w:r>
      <w:proofErr w:type="spellStart"/>
      <w:r>
        <w:rPr>
          <w:rFonts w:eastAsia="Arial"/>
          <w:b/>
          <w:bCs/>
          <w:color w:val="333333"/>
        </w:rPr>
        <w:t>KraneShares</w:t>
      </w:r>
      <w:proofErr w:type="spellEnd"/>
      <w:r>
        <w:rPr>
          <w:rFonts w:eastAsia="Arial"/>
          <w:b/>
          <w:bCs/>
          <w:color w:val="333333"/>
        </w:rPr>
        <w:t xml:space="preserve"> Global Carbon Strategy) — 미국 탄소시장 ~35% 비중</w:t>
      </w:r>
    </w:p>
    <w:p w14:paraId="6F111E95" w14:textId="77777777" w:rsidR="009E2FB4" w:rsidRDefault="00000000">
      <w:pPr>
        <w:spacing w:before="120" w:after="120"/>
        <w:ind w:left="360" w:right="360"/>
      </w:pPr>
      <w:r>
        <w:rPr>
          <w:rFonts w:eastAsia="Arial"/>
          <w:i/>
          <w:iCs/>
          <w:color w:val="8B4513"/>
          <w:sz w:val="20"/>
          <w:szCs w:val="20"/>
        </w:rPr>
        <w:t>단서: 캘리포니아 Cap-and-Trade는 2045년까지 연장 확정, RGGI도 주(</w:t>
      </w:r>
      <w:proofErr w:type="spellStart"/>
      <w:r>
        <w:rPr>
          <w:rFonts w:eastAsia="Arial"/>
          <w:i/>
          <w:iCs/>
          <w:color w:val="8B4513"/>
          <w:sz w:val="20"/>
          <w:szCs w:val="20"/>
        </w:rPr>
        <w:t>州</w:t>
      </w:r>
      <w:proofErr w:type="spellEnd"/>
      <w:r>
        <w:rPr>
          <w:rFonts w:eastAsia="Arial"/>
          <w:i/>
          <w:iCs/>
          <w:color w:val="8B4513"/>
          <w:sz w:val="20"/>
          <w:szCs w:val="20"/>
        </w:rPr>
        <w:t>) 프로그램으로 독립 존속 → 연방 폐지의 직접적 영향 제한적</w:t>
      </w:r>
    </w:p>
    <w:p w14:paraId="7ECF2A11" w14:textId="77777777" w:rsidR="009E2FB4" w:rsidRDefault="00000000">
      <w:pPr>
        <w:pStyle w:val="2"/>
      </w:pPr>
      <w:r>
        <w:t>3.4 ESG 펀드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9"/>
        <w:gridCol w:w="5839"/>
      </w:tblGrid>
      <w:tr w:rsidR="009E2FB4" w14:paraId="7A2DAB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6C8DDC9D" w14:textId="77777777" w:rsidR="009E2FB4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지표</w:t>
            </w:r>
          </w:p>
        </w:tc>
        <w:tc>
          <w:tcPr>
            <w:tcW w:w="5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1955586A" w14:textId="77777777" w:rsidR="009E2FB4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수치</w:t>
            </w:r>
          </w:p>
        </w:tc>
      </w:tr>
      <w:tr w:rsidR="009E2FB4" w14:paraId="2CF4109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450DDBC8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글로벌 ESG 펀드 AUM</w:t>
            </w:r>
          </w:p>
        </w:tc>
        <w:tc>
          <w:tcPr>
            <w:tcW w:w="5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3FB56518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3.92조 달러 (2025.6)</w:t>
            </w:r>
          </w:p>
        </w:tc>
      </w:tr>
      <w:tr w:rsidR="009E2FB4" w14:paraId="332B621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2A2DB758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ESG 투자 시장 전체</w:t>
            </w:r>
          </w:p>
        </w:tc>
        <w:tc>
          <w:tcPr>
            <w:tcW w:w="5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36DF64D0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45.61조 달러 (2026E) → 180.78조 달러 (2034E)</w:t>
            </w:r>
          </w:p>
        </w:tc>
      </w:tr>
    </w:tbl>
    <w:p w14:paraId="225F0717" w14:textId="77777777" w:rsidR="009E2FB4" w:rsidRDefault="00000000">
      <w:pPr>
        <w:spacing w:before="120" w:after="120"/>
        <w:ind w:left="360" w:right="360"/>
      </w:pPr>
      <w:r>
        <w:rPr>
          <w:rFonts w:eastAsia="Arial"/>
          <w:i/>
          <w:iCs/>
          <w:color w:val="8B4513"/>
          <w:sz w:val="20"/>
          <w:szCs w:val="20"/>
        </w:rPr>
        <w:t>역설적 회복력: 정치적 역풍에도 불구하고 ESG ETF는 글로벌 투자자 수요(유럽·아시아)와 기업 자체 ESG 통합으로 "놀라운 회복력" 시현</w:t>
      </w:r>
    </w:p>
    <w:p w14:paraId="329FC510" w14:textId="77777777" w:rsidR="009E2FB4" w:rsidRDefault="00000000">
      <w:r>
        <w:br w:type="page"/>
      </w:r>
    </w:p>
    <w:p w14:paraId="3657CA22" w14:textId="77777777" w:rsidR="009E2FB4" w:rsidRDefault="00000000">
      <w:pPr>
        <w:pStyle w:val="1"/>
      </w:pPr>
      <w:r>
        <w:lastRenderedPageBreak/>
        <w:t>4. 간접 영향 섹터</w:t>
      </w:r>
    </w:p>
    <w:p w14:paraId="60F25397" w14:textId="77777777" w:rsidR="009E2FB4" w:rsidRDefault="00000000">
      <w:pPr>
        <w:pStyle w:val="2"/>
      </w:pPr>
      <w:r>
        <w:t>4.1 보험/재보험 — 기후 리스크 증폭</w:t>
      </w:r>
    </w:p>
    <w:p w14:paraId="4B7DAE82" w14:textId="77777777" w:rsidR="009E2FB4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2025년 캘리포니아 산불 보험 손실: ~400억 달러</w:t>
      </w:r>
    </w:p>
    <w:p w14:paraId="2F9C8539" w14:textId="77777777" w:rsidR="009E2FB4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2025년 뇌우 피해: 500억 달러</w:t>
      </w:r>
    </w:p>
    <w:p w14:paraId="22AFA6F0" w14:textId="77777777" w:rsidR="009E2FB4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글로벌 자연재해 보험 손실: 연간 1,000억 달러+</w:t>
      </w:r>
    </w:p>
    <w:p w14:paraId="47A406C0" w14:textId="77777777" w:rsidR="009E2FB4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규제 완화 → 장기 배출 증가 → 기후 손실 확대 → 보험료 인상 가속</w:t>
      </w:r>
    </w:p>
    <w:p w14:paraId="7AA3CB1D" w14:textId="77777777" w:rsidR="009E2FB4" w:rsidRDefault="00000000">
      <w:pPr>
        <w:spacing w:before="120" w:after="120"/>
        <w:ind w:left="360" w:right="360"/>
      </w:pPr>
      <w:r>
        <w:rPr>
          <w:rFonts w:eastAsia="Arial"/>
          <w:i/>
          <w:iCs/>
          <w:color w:val="8B4513"/>
          <w:sz w:val="20"/>
          <w:szCs w:val="20"/>
        </w:rPr>
        <w:t>Yale Law Journal: "보험 불가능한 미래(The Uninsurable Future)"</w:t>
      </w:r>
    </w:p>
    <w:p w14:paraId="78B40FCB" w14:textId="77777777" w:rsidR="009E2FB4" w:rsidRDefault="00000000">
      <w:pPr>
        <w:pStyle w:val="2"/>
      </w:pPr>
      <w:r>
        <w:t>4.2 원자력 — "</w:t>
      </w:r>
      <w:proofErr w:type="spellStart"/>
      <w:r>
        <w:t>탈탄소</w:t>
      </w:r>
      <w:proofErr w:type="spellEnd"/>
      <w:r>
        <w:t xml:space="preserve"> 대안"</w:t>
      </w:r>
      <w:proofErr w:type="spellStart"/>
      <w:r>
        <w:t>으로</w:t>
      </w:r>
      <w:proofErr w:type="spellEnd"/>
      <w:r>
        <w:t xml:space="preserve"> 부상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9"/>
        <w:gridCol w:w="1800"/>
        <w:gridCol w:w="1800"/>
        <w:gridCol w:w="3639"/>
      </w:tblGrid>
      <w:tr w:rsidR="009E2FB4" w14:paraId="0C902E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2ECECD1E" w14:textId="77777777" w:rsidR="009E2FB4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종목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4E9FC0CE" w14:textId="77777777" w:rsidR="009E2FB4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현재가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61B46E8F" w14:textId="77777777" w:rsidR="009E2FB4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12개월 목표가</w:t>
            </w:r>
          </w:p>
        </w:tc>
        <w:tc>
          <w:tcPr>
            <w:tcW w:w="3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620247FA" w14:textId="77777777" w:rsidR="009E2FB4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9E2FB4" w14:paraId="053745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1253739C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Constellation Energy (CEG)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2686DC20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$307.71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1EB770CC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$412.82</w:t>
            </w:r>
          </w:p>
        </w:tc>
        <w:tc>
          <w:tcPr>
            <w:tcW w:w="3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7E6F0C49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미국 최대 원전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운영사</w:t>
            </w:r>
            <w:proofErr w:type="spellEnd"/>
          </w:p>
        </w:tc>
      </w:tr>
      <w:tr w:rsidR="009E2FB4" w14:paraId="7F512A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34847298" w14:textId="77777777" w:rsidR="009E2FB4" w:rsidRDefault="00000000">
            <w:pPr>
              <w:spacing w:before="40" w:after="40"/>
              <w:ind w:left="80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NuScale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Power (SMR)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582D04D6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$20.19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521F7ADB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$32.77</w:t>
            </w:r>
          </w:p>
        </w:tc>
        <w:tc>
          <w:tcPr>
            <w:tcW w:w="3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1CB8F9BB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NRC SMR 설계 최초 승인</w:t>
            </w:r>
          </w:p>
        </w:tc>
      </w:tr>
      <w:tr w:rsidR="009E2FB4" w14:paraId="26CBDF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67C78B51" w14:textId="77777777" w:rsidR="009E2FB4" w:rsidRDefault="00000000">
            <w:pPr>
              <w:spacing w:before="40" w:after="40"/>
              <w:ind w:left="80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Oklo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(OKLO)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6D3884A8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$94.95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2C45FFE4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$125.11</w:t>
            </w:r>
          </w:p>
        </w:tc>
        <w:tc>
          <w:tcPr>
            <w:tcW w:w="3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1476A606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Sam Altman 지원, Meta 파트너십</w:t>
            </w:r>
          </w:p>
        </w:tc>
      </w:tr>
      <w:tr w:rsidR="009E2FB4" w14:paraId="5FB2D4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764F578A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URNM ETF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5CDE357A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53B67C2F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3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1AC70260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우라늄 광산 80%+</w:t>
            </w:r>
          </w:p>
        </w:tc>
      </w:tr>
    </w:tbl>
    <w:p w14:paraId="6A90D71F" w14:textId="77777777" w:rsidR="009E2FB4" w:rsidRDefault="00000000">
      <w:pPr>
        <w:spacing w:before="120" w:after="60"/>
      </w:pPr>
      <w:r>
        <w:rPr>
          <w:rFonts w:eastAsia="Arial"/>
          <w:color w:val="333333"/>
        </w:rPr>
        <w:t>트럼프 행정부 목표: 2030년까지 대형 원전 10기+ 신규 착공, 원자력 발전 용량 4배 확대</w:t>
      </w:r>
    </w:p>
    <w:p w14:paraId="5199BF6A" w14:textId="77777777" w:rsidR="009E2FB4" w:rsidRDefault="00000000">
      <w:pPr>
        <w:spacing w:before="120" w:after="120"/>
        <w:ind w:left="360" w:right="360"/>
      </w:pPr>
      <w:r>
        <w:rPr>
          <w:rFonts w:eastAsia="Arial"/>
          <w:i/>
          <w:iCs/>
          <w:color w:val="8B4513"/>
          <w:sz w:val="20"/>
          <w:szCs w:val="20"/>
        </w:rPr>
        <w:t xml:space="preserve">주의: </w:t>
      </w:r>
      <w:proofErr w:type="spellStart"/>
      <w:r>
        <w:rPr>
          <w:rFonts w:eastAsia="Arial"/>
          <w:i/>
          <w:iCs/>
          <w:color w:val="8B4513"/>
          <w:sz w:val="20"/>
          <w:szCs w:val="20"/>
        </w:rPr>
        <w:t>NuScale</w:t>
      </w:r>
      <w:proofErr w:type="spellEnd"/>
      <w:r>
        <w:rPr>
          <w:rFonts w:eastAsia="Arial"/>
          <w:i/>
          <w:iCs/>
          <w:color w:val="8B4513"/>
          <w:sz w:val="20"/>
          <w:szCs w:val="20"/>
        </w:rPr>
        <w:t xml:space="preserve">, </w:t>
      </w:r>
      <w:proofErr w:type="spellStart"/>
      <w:r>
        <w:rPr>
          <w:rFonts w:eastAsia="Arial"/>
          <w:i/>
          <w:iCs/>
          <w:color w:val="8B4513"/>
          <w:sz w:val="20"/>
          <w:szCs w:val="20"/>
        </w:rPr>
        <w:t>Oklo</w:t>
      </w:r>
      <w:proofErr w:type="spellEnd"/>
      <w:r>
        <w:rPr>
          <w:rFonts w:eastAsia="Arial"/>
          <w:i/>
          <w:iCs/>
          <w:color w:val="8B4513"/>
          <w:sz w:val="20"/>
          <w:szCs w:val="20"/>
        </w:rPr>
        <w:t xml:space="preserve">는 아직 실제 발전소 건설/운영 경험 없음. </w:t>
      </w:r>
      <w:proofErr w:type="spellStart"/>
      <w:r>
        <w:rPr>
          <w:rFonts w:eastAsia="Arial"/>
          <w:i/>
          <w:iCs/>
          <w:color w:val="8B4513"/>
          <w:sz w:val="20"/>
          <w:szCs w:val="20"/>
        </w:rPr>
        <w:t>NuScale</w:t>
      </w:r>
      <w:proofErr w:type="spellEnd"/>
      <w:r>
        <w:rPr>
          <w:rFonts w:eastAsia="Arial"/>
          <w:i/>
          <w:iCs/>
          <w:color w:val="8B4513"/>
          <w:sz w:val="20"/>
          <w:szCs w:val="20"/>
        </w:rPr>
        <w:t xml:space="preserve"> FCF: -2.83억 달러, </w:t>
      </w:r>
      <w:proofErr w:type="spellStart"/>
      <w:r>
        <w:rPr>
          <w:rFonts w:eastAsia="Arial"/>
          <w:i/>
          <w:iCs/>
          <w:color w:val="8B4513"/>
          <w:sz w:val="20"/>
          <w:szCs w:val="20"/>
        </w:rPr>
        <w:t>Oklo</w:t>
      </w:r>
      <w:proofErr w:type="spellEnd"/>
      <w:r>
        <w:rPr>
          <w:rFonts w:eastAsia="Arial"/>
          <w:i/>
          <w:iCs/>
          <w:color w:val="8B4513"/>
          <w:sz w:val="20"/>
          <w:szCs w:val="20"/>
        </w:rPr>
        <w:t xml:space="preserve"> FCF: -6,800만 달러</w:t>
      </w:r>
    </w:p>
    <w:p w14:paraId="125128B7" w14:textId="77777777" w:rsidR="009E2FB4" w:rsidRDefault="00000000">
      <w:pPr>
        <w:pStyle w:val="2"/>
      </w:pPr>
      <w:r>
        <w:t>4.3 농업 — 혼재된 영향</w:t>
      </w:r>
    </w:p>
    <w:p w14:paraId="4E93BAD6" w14:textId="77777777" w:rsidR="009E2FB4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농업 = 미국 GHG 배출의 10.5%</w:t>
      </w:r>
    </w:p>
    <w:p w14:paraId="14739317" w14:textId="77777777" w:rsidR="009E2FB4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USDA 1.486억 달러 환경 보전 보조금 종료</w:t>
      </w:r>
    </w:p>
    <w:p w14:paraId="30DE89AF" w14:textId="77777777" w:rsidR="009E2FB4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탄소 농업 인센티브 약화 vs 메탄 규제 부담 감소</w:t>
      </w:r>
    </w:p>
    <w:p w14:paraId="6454DE7B" w14:textId="77777777" w:rsidR="009E2FB4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EU는 반대로 탄소 농업 인증 프레임워크 2026년 본격 가동</w:t>
      </w:r>
    </w:p>
    <w:p w14:paraId="26E801B5" w14:textId="77777777" w:rsidR="009E2FB4" w:rsidRDefault="00000000">
      <w:r>
        <w:br w:type="page"/>
      </w:r>
    </w:p>
    <w:p w14:paraId="2D963B3F" w14:textId="77777777" w:rsidR="009E2FB4" w:rsidRDefault="00000000">
      <w:pPr>
        <w:pStyle w:val="1"/>
      </w:pPr>
      <w:r>
        <w:lastRenderedPageBreak/>
        <w:t>5. 핵심 투자 변수: 법적 쟁송</w:t>
      </w:r>
    </w:p>
    <w:p w14:paraId="776BA617" w14:textId="77777777" w:rsidR="009E2FB4" w:rsidRDefault="00000000">
      <w:pPr>
        <w:pStyle w:val="2"/>
      </w:pPr>
      <w:r>
        <w:t>5.1 소송 제기 확정 주체</w:t>
      </w:r>
    </w:p>
    <w:p w14:paraId="77CFC81F" w14:textId="77777777" w:rsidR="009E2FB4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캘리포니아주 (주지사 Newsom + 법무장관 Rob Bonta)</w:t>
      </w:r>
    </w:p>
    <w:p w14:paraId="793D528E" w14:textId="77777777" w:rsidR="009E2FB4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매사추세츠 법무장관</w:t>
      </w:r>
    </w:p>
    <w:p w14:paraId="4095172F" w14:textId="77777777" w:rsidR="009E2FB4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American Lung Association / American Public Health Association</w:t>
      </w:r>
    </w:p>
    <w:p w14:paraId="32A73AD2" w14:textId="77777777" w:rsidR="009E2FB4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Natural Resources Defense Council (NRDC)</w:t>
      </w:r>
    </w:p>
    <w:p w14:paraId="54884E79" w14:textId="77777777" w:rsidR="009E2FB4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Earthjustice</w:t>
      </w:r>
    </w:p>
    <w:p w14:paraId="0C375D0A" w14:textId="77777777" w:rsidR="009E2FB4" w:rsidRDefault="00000000">
      <w:pPr>
        <w:pStyle w:val="2"/>
      </w:pPr>
      <w:r>
        <w:t>5.2 법적 선례의 강도</w:t>
      </w:r>
    </w:p>
    <w:p w14:paraId="42F8FD62" w14:textId="77777777" w:rsidR="009E2FB4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2023년까지 법원들이 위해성 판단에 대한 모든 도전을 일관되게 기각</w:t>
      </w:r>
    </w:p>
    <w:p w14:paraId="651D6DA5" w14:textId="77777777" w:rsidR="009E2FB4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대법원도 2023년 말 관련 상고 기각</w:t>
      </w:r>
    </w:p>
    <w:p w14:paraId="35043300" w14:textId="77777777" w:rsidR="009E2FB4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예상 타임라인: Federal Register 게시 → DC Circuit → 대법원 (2~4년)</w:t>
      </w:r>
    </w:p>
    <w:p w14:paraId="7D255B97" w14:textId="77777777" w:rsidR="009E2FB4" w:rsidRDefault="00000000">
      <w:pPr>
        <w:pStyle w:val="2"/>
      </w:pPr>
      <w:r>
        <w:t>5.3 역설적 소송 리스크</w:t>
      </w:r>
    </w:p>
    <w:p w14:paraId="1D37B2D5" w14:textId="77777777" w:rsidR="009E2FB4" w:rsidRDefault="00000000">
      <w:pPr>
        <w:spacing w:before="120" w:after="120"/>
      </w:pPr>
      <w:r>
        <w:rPr>
          <w:rFonts w:eastAsia="Arial"/>
          <w:b/>
          <w:bCs/>
          <w:color w:val="CC0000"/>
        </w:rPr>
        <w:t xml:space="preserve">핵심 발견 (Grist 보도): </w:t>
      </w:r>
      <w:r>
        <w:rPr>
          <w:rFonts w:eastAsia="Arial"/>
        </w:rPr>
        <w:t>EPA가 규제 권한을 자발적으로 포기하면, 2011년 대법원이 연방 규제의 존재를 근거로 차단했던 "공공 피해(public nuisance)" 소송 경로가 부활될 수 있다. 즉, 규제 폐지가 역으로 화석연료 기업에 대한 직접 소송 리스크를 확대할 수 있다.</w:t>
      </w:r>
    </w:p>
    <w:p w14:paraId="7CD45C55" w14:textId="77777777" w:rsidR="009E2FB4" w:rsidRDefault="00000000">
      <w:r>
        <w:br w:type="page"/>
      </w:r>
    </w:p>
    <w:p w14:paraId="79E7299A" w14:textId="77777777" w:rsidR="009E2FB4" w:rsidRDefault="00000000">
      <w:pPr>
        <w:pStyle w:val="1"/>
      </w:pPr>
      <w:r>
        <w:lastRenderedPageBreak/>
        <w:t>6. 종합 투자 영향 매트릭스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1984"/>
        <w:gridCol w:w="1701"/>
        <w:gridCol w:w="1276"/>
        <w:gridCol w:w="2693"/>
      </w:tblGrid>
      <w:tr w:rsidR="00C56570" w14:paraId="6CE8047F" w14:textId="77777777" w:rsidTr="00C565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3433FB66" w14:textId="77777777" w:rsidR="00C56570" w:rsidRDefault="00C5657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섹터</w:t>
            </w:r>
          </w:p>
        </w:tc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494034AC" w14:textId="77777777" w:rsidR="00C56570" w:rsidRDefault="00C5657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단기 방향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3F31824D" w14:textId="77777777" w:rsidR="00C56570" w:rsidRDefault="00C5657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중기 전망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69609950" w14:textId="77777777" w:rsidR="00C56570" w:rsidRDefault="00C5657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확신도</w:t>
            </w:r>
          </w:p>
        </w:tc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39E68DFF" w14:textId="77777777" w:rsidR="00C56570" w:rsidRDefault="00C5657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핵심 변수</w:t>
            </w:r>
          </w:p>
        </w:tc>
      </w:tr>
      <w:tr w:rsidR="00C56570" w14:paraId="46EDDBB0" w14:textId="77777777" w:rsidTr="00C56570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1C015B60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석유/천연가스</w:t>
            </w:r>
          </w:p>
        </w:tc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7B1B2041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006600"/>
                <w:sz w:val="20"/>
                <w:szCs w:val="20"/>
              </w:rPr>
              <w:t>↑ 상승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5AB14829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보합~상승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5E2A31F9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중</w:t>
            </w:r>
          </w:p>
        </w:tc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13CBF893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유가, 글로벌 수요</w:t>
            </w:r>
          </w:p>
        </w:tc>
      </w:tr>
      <w:tr w:rsidR="00C56570" w14:paraId="5DB41912" w14:textId="77777777" w:rsidTr="00C56570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2E11C388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석탄</w:t>
            </w:r>
          </w:p>
        </w:tc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7A871504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006600"/>
                <w:sz w:val="20"/>
                <w:szCs w:val="20"/>
              </w:rPr>
              <w:t>↑ 제한적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2B3E27C6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↓ 하락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0A88B15F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낮음</w:t>
            </w:r>
          </w:p>
        </w:tc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39094634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경제적 비경쟁력</w:t>
            </w:r>
          </w:p>
        </w:tc>
      </w:tr>
      <w:tr w:rsidR="00C56570" w14:paraId="61A44CC7" w14:textId="77777777" w:rsidTr="00C56570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61329D7B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레거시 자동차 OEM</w:t>
            </w:r>
          </w:p>
        </w:tc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6DD05EA2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006600"/>
                <w:sz w:val="20"/>
                <w:szCs w:val="20"/>
              </w:rPr>
              <w:t>↑ 상승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6DCB5CB8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보합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2DB0E007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중~상</w:t>
            </w:r>
          </w:p>
        </w:tc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758F36A5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글로벌 EV 규제</w:t>
            </w:r>
          </w:p>
        </w:tc>
      </w:tr>
      <w:tr w:rsidR="00C56570" w14:paraId="68334E56" w14:textId="77777777" w:rsidTr="00C56570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772260EE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태양광/풍력</w:t>
            </w:r>
          </w:p>
        </w:tc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7CED8737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CC0000"/>
                <w:sz w:val="20"/>
                <w:szCs w:val="20"/>
              </w:rPr>
              <w:t>↓ 하락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3F693374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회복 가능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41E7C753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중</w:t>
            </w:r>
          </w:p>
        </w:tc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73D6A15A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법적 쟁송, IRA</w:t>
            </w:r>
          </w:p>
        </w:tc>
      </w:tr>
      <w:tr w:rsidR="00C56570" w14:paraId="41805C11" w14:textId="77777777" w:rsidTr="00C56570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135125E4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EV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밸류체인</w:t>
            </w:r>
            <w:proofErr w:type="spellEnd"/>
          </w:p>
        </w:tc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2B275DD7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CC0000"/>
                <w:sz w:val="20"/>
                <w:szCs w:val="20"/>
              </w:rPr>
              <w:t>↓ 하락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2047DBEC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구조적 성장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7FCCA5E7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중</w:t>
            </w:r>
          </w:p>
        </w:tc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69057F75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소비자 수요</w:t>
            </w:r>
          </w:p>
        </w:tc>
      </w:tr>
      <w:tr w:rsidR="00C56570" w14:paraId="60F2AF73" w14:textId="77777777" w:rsidTr="00C56570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7458C4D3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탄소시장</w:t>
            </w:r>
          </w:p>
        </w:tc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0C83CBE4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CC0000"/>
                <w:sz w:val="20"/>
                <w:szCs w:val="20"/>
              </w:rPr>
              <w:t>↓~보합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37319942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보합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04D151FF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낮음</w:t>
            </w:r>
          </w:p>
        </w:tc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6D434F05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주 프로그램 존속</w:t>
            </w:r>
          </w:p>
        </w:tc>
      </w:tr>
      <w:tr w:rsidR="00C56570" w14:paraId="6E25B9A9" w14:textId="77777777" w:rsidTr="00C56570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5941C144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ESG</w:t>
            </w:r>
          </w:p>
        </w:tc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4AA03C86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666666"/>
                <w:sz w:val="20"/>
                <w:szCs w:val="20"/>
              </w:rPr>
              <w:t>→ 보합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003EACF6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상승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7F7E0965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중</w:t>
            </w:r>
          </w:p>
        </w:tc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213B5218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글로벌 자금 흐름</w:t>
            </w:r>
          </w:p>
        </w:tc>
      </w:tr>
      <w:tr w:rsidR="00C56570" w14:paraId="0D6FA040" w14:textId="77777777" w:rsidTr="00C56570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38506B13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원자력</w:t>
            </w:r>
          </w:p>
        </w:tc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00289A4A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006600"/>
                <w:sz w:val="20"/>
                <w:szCs w:val="20"/>
              </w:rPr>
              <w:t>↑ 상승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30B3A8F4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상승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77656896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중~상</w:t>
            </w:r>
          </w:p>
        </w:tc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086A49D1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AI 수요, 규제 승인</w:t>
            </w:r>
          </w:p>
        </w:tc>
      </w:tr>
      <w:tr w:rsidR="00C56570" w14:paraId="355456A0" w14:textId="77777777" w:rsidTr="00C56570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0E635C58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보험/재보험</w:t>
            </w:r>
          </w:p>
        </w:tc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14DA4C13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666666"/>
                <w:sz w:val="20"/>
                <w:szCs w:val="20"/>
              </w:rPr>
              <w:t>→ 중립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15A53FE9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장기 부정적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7F917A4C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상</w:t>
            </w:r>
          </w:p>
        </w:tc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0B0DBFB5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기후 손실 확대</w:t>
            </w:r>
          </w:p>
        </w:tc>
      </w:tr>
      <w:tr w:rsidR="00C56570" w14:paraId="4965EFCA" w14:textId="77777777" w:rsidTr="00C56570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7F8C0D51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농업</w:t>
            </w:r>
          </w:p>
        </w:tc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3AE7CA6C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666666"/>
                <w:sz w:val="20"/>
                <w:szCs w:val="20"/>
              </w:rPr>
              <w:t>↔ 혼재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694D5D96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불확실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580C20DA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낮음</w:t>
            </w:r>
          </w:p>
        </w:tc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64553178" w14:textId="77777777" w:rsidR="00C56570" w:rsidRDefault="00C5657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탄소 농업 인센티브</w:t>
            </w:r>
          </w:p>
        </w:tc>
      </w:tr>
    </w:tbl>
    <w:p w14:paraId="66ACFE6F" w14:textId="77777777" w:rsidR="009E2FB4" w:rsidRDefault="00000000">
      <w:pPr>
        <w:pStyle w:val="1"/>
      </w:pPr>
      <w:r>
        <w:t>7. 시장 규모 종합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9"/>
        <w:gridCol w:w="5839"/>
      </w:tblGrid>
      <w:tr w:rsidR="009E2FB4" w14:paraId="5F5C8F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15A9D14D" w14:textId="77777777" w:rsidR="009E2FB4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5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vAlign w:val="center"/>
          </w:tcPr>
          <w:p w14:paraId="2ECF3CCF" w14:textId="77777777" w:rsidR="009E2FB4" w:rsidRDefault="00000000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수치</w:t>
            </w:r>
          </w:p>
        </w:tc>
      </w:tr>
      <w:tr w:rsidR="009E2FB4" w14:paraId="5958591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7D041F60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글로벌 에너지 전환 투자</w:t>
            </w:r>
          </w:p>
        </w:tc>
        <w:tc>
          <w:tcPr>
            <w:tcW w:w="5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2234A987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2.3조 달러 (2025, +8% YoY)</w:t>
            </w:r>
          </w:p>
        </w:tc>
      </w:tr>
      <w:tr w:rsidR="009E2FB4" w14:paraId="1CD4F43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2D5D9D6B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재생에너지 투자</w:t>
            </w:r>
          </w:p>
        </w:tc>
        <w:tc>
          <w:tcPr>
            <w:tcW w:w="5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7B6CED35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6,900억 달러 (2025)</w:t>
            </w:r>
          </w:p>
        </w:tc>
      </w:tr>
      <w:tr w:rsidR="009E2FB4" w14:paraId="1D67CBA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30A94296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전기차/운송 투자</w:t>
            </w:r>
          </w:p>
        </w:tc>
        <w:tc>
          <w:tcPr>
            <w:tcW w:w="5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686C4A35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8,930억 달러 (2025)</w:t>
            </w:r>
          </w:p>
        </w:tc>
      </w:tr>
      <w:tr w:rsidR="009E2FB4" w14:paraId="74D62FC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31FD0EA0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글로벌 ESG 펀드 AUM</w:t>
            </w:r>
          </w:p>
        </w:tc>
        <w:tc>
          <w:tcPr>
            <w:tcW w:w="5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5426F01B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3.92조 달러</w:t>
            </w:r>
          </w:p>
        </w:tc>
      </w:tr>
      <w:tr w:rsidR="009E2FB4" w14:paraId="7E238E7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57F485D7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글로벌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탄소크레딧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시장</w:t>
            </w:r>
          </w:p>
        </w:tc>
        <w:tc>
          <w:tcPr>
            <w:tcW w:w="5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vAlign w:val="center"/>
          </w:tcPr>
          <w:p w14:paraId="5ABF7620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1,143억 → 1,273억 달러 (2026E)</w:t>
            </w:r>
          </w:p>
        </w:tc>
      </w:tr>
      <w:tr w:rsidR="009E2FB4" w14:paraId="5F7DB29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351DCAE4" w14:textId="77777777" w:rsidR="009E2FB4" w:rsidRDefault="00000000">
            <w:pPr>
              <w:spacing w:before="40" w:after="40"/>
              <w:ind w:left="80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전력망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투자</w:t>
            </w:r>
          </w:p>
        </w:tc>
        <w:tc>
          <w:tcPr>
            <w:tcW w:w="5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vAlign w:val="center"/>
          </w:tcPr>
          <w:p w14:paraId="52FD6E4F" w14:textId="77777777" w:rsidR="009E2FB4" w:rsidRDefault="00000000">
            <w:pPr>
              <w:spacing w:before="40" w:after="40"/>
              <w:ind w:left="80"/>
            </w:pPr>
            <w:r>
              <w:rPr>
                <w:rFonts w:eastAsia="Arial"/>
                <w:color w:val="333333"/>
                <w:sz w:val="20"/>
                <w:szCs w:val="20"/>
              </w:rPr>
              <w:t>4,830억 달러 (2025)</w:t>
            </w:r>
          </w:p>
        </w:tc>
      </w:tr>
    </w:tbl>
    <w:p w14:paraId="743998FB" w14:textId="77777777" w:rsidR="009E2FB4" w:rsidRDefault="00000000">
      <w:r>
        <w:br w:type="page"/>
      </w:r>
    </w:p>
    <w:p w14:paraId="60AEC99F" w14:textId="77777777" w:rsidR="009E2FB4" w:rsidRDefault="00000000">
      <w:pPr>
        <w:pStyle w:val="1"/>
      </w:pPr>
      <w:r>
        <w:lastRenderedPageBreak/>
        <w:t>핵심 결론</w:t>
      </w:r>
    </w:p>
    <w:p w14:paraId="2C79BCF1" w14:textId="77777777" w:rsidR="009E2FB4" w:rsidRDefault="00000000">
      <w:pPr>
        <w:pStyle w:val="a4"/>
        <w:numPr>
          <w:ilvl w:val="0"/>
          <w:numId w:val="3"/>
        </w:numPr>
        <w:spacing w:before="120" w:after="120"/>
      </w:pPr>
      <w:r>
        <w:rPr>
          <w:rFonts w:eastAsia="Arial"/>
          <w:b/>
          <w:bCs/>
        </w:rPr>
        <w:t xml:space="preserve">법적 불확실성이 최대 변수: </w:t>
      </w:r>
      <w:r>
        <w:rPr>
          <w:rFonts w:eastAsia="Arial"/>
        </w:rPr>
        <w:t xml:space="preserve">과거 법원은 위해성 판단 관련 모든 도전을 기각해왔다. </w:t>
      </w:r>
      <w:proofErr w:type="spellStart"/>
      <w:r>
        <w:rPr>
          <w:rFonts w:eastAsia="Arial"/>
        </w:rPr>
        <w:t>수년간의</w:t>
      </w:r>
      <w:proofErr w:type="spellEnd"/>
      <w:r>
        <w:rPr>
          <w:rFonts w:eastAsia="Arial"/>
        </w:rPr>
        <w:t xml:space="preserve"> 법적 쟁송이 롱/쇼트 양방향 포지션 모두에 리스크를 부과한다.</w:t>
      </w:r>
    </w:p>
    <w:p w14:paraId="55523DC5" w14:textId="77777777" w:rsidR="009E2FB4" w:rsidRDefault="00000000">
      <w:pPr>
        <w:pStyle w:val="a4"/>
        <w:numPr>
          <w:ilvl w:val="0"/>
          <w:numId w:val="3"/>
        </w:numPr>
        <w:spacing w:before="120" w:after="120"/>
      </w:pPr>
      <w:r>
        <w:rPr>
          <w:rFonts w:eastAsia="Arial"/>
          <w:b/>
          <w:bCs/>
        </w:rPr>
        <w:t xml:space="preserve">이중 타격(Double Hit) 구조: </w:t>
      </w:r>
      <w:r>
        <w:rPr>
          <w:rFonts w:eastAsia="Arial"/>
        </w:rPr>
        <w:t>위해성 판단 폐지 + IRA 세액공제 가속 폐지가 클린에너지/EV 섹터의 법적 토대와 재정 인센티브를 동시에 약화시키는 전례 없는 상황.</w:t>
      </w:r>
    </w:p>
    <w:p w14:paraId="4F188EB3" w14:textId="77777777" w:rsidR="009E2FB4" w:rsidRDefault="00000000">
      <w:pPr>
        <w:pStyle w:val="a4"/>
        <w:numPr>
          <w:ilvl w:val="0"/>
          <w:numId w:val="3"/>
        </w:numPr>
        <w:spacing w:before="120" w:after="120"/>
      </w:pPr>
      <w:r>
        <w:rPr>
          <w:rFonts w:eastAsia="Arial"/>
          <w:b/>
          <w:bCs/>
        </w:rPr>
        <w:t xml:space="preserve">역설적 소송 리스크: </w:t>
      </w:r>
      <w:r>
        <w:rPr>
          <w:rFonts w:eastAsia="Arial"/>
        </w:rPr>
        <w:t>EPA의 규제 권한 자발적 포기가 화석연료 기업에 대한 직접 public nuisance 소송 경로를 부활시킬 수 있어, 화석연료 수혜론의 중기적 함정.</w:t>
      </w:r>
    </w:p>
    <w:p w14:paraId="7C274496" w14:textId="77777777" w:rsidR="009E2FB4" w:rsidRDefault="00000000">
      <w:pPr>
        <w:pStyle w:val="a4"/>
        <w:numPr>
          <w:ilvl w:val="0"/>
          <w:numId w:val="3"/>
        </w:numPr>
        <w:spacing w:before="120" w:after="120"/>
      </w:pPr>
      <w:r>
        <w:rPr>
          <w:rFonts w:eastAsia="Arial"/>
          <w:b/>
          <w:bCs/>
        </w:rPr>
        <w:t xml:space="preserve">규제 파편화: </w:t>
      </w:r>
      <w:r>
        <w:rPr>
          <w:rFonts w:eastAsia="Arial"/>
        </w:rPr>
        <w:t>캘리포니아(Cap-and-Trade 2045년), RGGI, 개별 주 기후법이 존속하므로, 미국 내 지역별 규제 환경 상이 → 기업 운영 복잡성 증가.</w:t>
      </w:r>
    </w:p>
    <w:p w14:paraId="097F2D59" w14:textId="77777777" w:rsidR="009E2FB4" w:rsidRDefault="00000000">
      <w:pPr>
        <w:pStyle w:val="a4"/>
        <w:numPr>
          <w:ilvl w:val="0"/>
          <w:numId w:val="3"/>
        </w:numPr>
        <w:spacing w:before="120" w:after="120"/>
      </w:pPr>
      <w:r>
        <w:rPr>
          <w:rFonts w:eastAsia="Arial"/>
          <w:b/>
          <w:bCs/>
        </w:rPr>
        <w:t xml:space="preserve">글로벌 흐름과의 괴리: </w:t>
      </w:r>
      <w:r>
        <w:rPr>
          <w:rFonts w:eastAsia="Arial"/>
        </w:rPr>
        <w:t>2025년 글로벌 에너지 전환 투자 2.3조 달러 사상 최대, EU CBAM 2026년 시행 — 미국 규제 후퇴는 글로벌 추세와 정반대 방향.</w:t>
      </w:r>
    </w:p>
    <w:p w14:paraId="6EFB76BC" w14:textId="77777777" w:rsidR="009E2FB4" w:rsidRDefault="00000000">
      <w:r>
        <w:br w:type="page"/>
      </w:r>
    </w:p>
    <w:p w14:paraId="40070E78" w14:textId="77777777" w:rsidR="009E2FB4" w:rsidRDefault="00000000">
      <w:pPr>
        <w:pStyle w:val="1"/>
      </w:pPr>
      <w:r>
        <w:lastRenderedPageBreak/>
        <w:t>출처 (Sources)</w:t>
      </w:r>
    </w:p>
    <w:p w14:paraId="69C2FB51" w14:textId="77777777" w:rsidR="009E2FB4" w:rsidRDefault="00000000">
      <w:pPr>
        <w:pStyle w:val="a4"/>
        <w:numPr>
          <w:ilvl w:val="0"/>
          <w:numId w:val="4"/>
        </w:numPr>
        <w:spacing w:before="40" w:after="40"/>
      </w:pPr>
      <w:hyperlink r:id="rId7" w:history="1">
        <w:r>
          <w:rPr>
            <w:rStyle w:val="a5"/>
            <w:rFonts w:eastAsia="Arial"/>
            <w:sz w:val="20"/>
            <w:szCs w:val="20"/>
          </w:rPr>
          <w:t>NPR: 트럼프 EPA 온실가스 규제 중단</w:t>
        </w:r>
      </w:hyperlink>
    </w:p>
    <w:p w14:paraId="78303793" w14:textId="77777777" w:rsidR="009E2FB4" w:rsidRDefault="00000000">
      <w:pPr>
        <w:pStyle w:val="a4"/>
        <w:numPr>
          <w:ilvl w:val="0"/>
          <w:numId w:val="4"/>
        </w:numPr>
        <w:spacing w:before="40" w:after="40"/>
      </w:pPr>
      <w:hyperlink r:id="rId8" w:history="1">
        <w:r>
          <w:rPr>
            <w:rStyle w:val="a5"/>
            <w:rFonts w:eastAsia="Arial"/>
            <w:sz w:val="20"/>
            <w:szCs w:val="20"/>
          </w:rPr>
          <w:t>CNBC: 트럼프 EPA 위해성 판단 철회</w:t>
        </w:r>
      </w:hyperlink>
    </w:p>
    <w:p w14:paraId="6CD10AD8" w14:textId="77777777" w:rsidR="009E2FB4" w:rsidRDefault="00000000">
      <w:pPr>
        <w:pStyle w:val="a4"/>
        <w:numPr>
          <w:ilvl w:val="0"/>
          <w:numId w:val="4"/>
        </w:numPr>
        <w:spacing w:before="40" w:after="40"/>
      </w:pPr>
      <w:hyperlink r:id="rId9" w:history="1">
        <w:r>
          <w:rPr>
            <w:rStyle w:val="a5"/>
            <w:rFonts w:eastAsia="Arial"/>
            <w:sz w:val="20"/>
            <w:szCs w:val="20"/>
          </w:rPr>
          <w:t>CNBC: EPA 폐지가 지갑에 미치는 영향</w:t>
        </w:r>
      </w:hyperlink>
    </w:p>
    <w:p w14:paraId="2A99F7D5" w14:textId="77777777" w:rsidR="009E2FB4" w:rsidRDefault="00000000">
      <w:pPr>
        <w:pStyle w:val="a4"/>
        <w:numPr>
          <w:ilvl w:val="0"/>
          <w:numId w:val="4"/>
        </w:numPr>
        <w:spacing w:before="40" w:after="40"/>
      </w:pPr>
      <w:hyperlink r:id="rId10" w:history="1">
        <w:r>
          <w:rPr>
            <w:rStyle w:val="a5"/>
            <w:rFonts w:eastAsia="Arial"/>
            <w:sz w:val="20"/>
            <w:szCs w:val="20"/>
          </w:rPr>
          <w:t>Grist: 트럼프의 기후 정책 폐기 — 역풍 가능성</w:t>
        </w:r>
      </w:hyperlink>
    </w:p>
    <w:p w14:paraId="6FC5677D" w14:textId="77777777" w:rsidR="009E2FB4" w:rsidRDefault="00000000">
      <w:pPr>
        <w:pStyle w:val="a4"/>
        <w:numPr>
          <w:ilvl w:val="0"/>
          <w:numId w:val="4"/>
        </w:numPr>
        <w:spacing w:before="40" w:after="40"/>
      </w:pPr>
      <w:hyperlink r:id="rId11" w:history="1">
        <w:r>
          <w:rPr>
            <w:rStyle w:val="a5"/>
            <w:rFonts w:eastAsia="Arial"/>
            <w:sz w:val="20"/>
            <w:szCs w:val="20"/>
          </w:rPr>
          <w:t>WRI: 위해성 판단 폐지 해설</w:t>
        </w:r>
      </w:hyperlink>
    </w:p>
    <w:p w14:paraId="032020B2" w14:textId="77777777" w:rsidR="009E2FB4" w:rsidRDefault="00000000">
      <w:pPr>
        <w:pStyle w:val="a4"/>
        <w:numPr>
          <w:ilvl w:val="0"/>
          <w:numId w:val="4"/>
        </w:numPr>
        <w:spacing w:before="40" w:after="40"/>
      </w:pPr>
      <w:hyperlink r:id="rId12" w:history="1">
        <w:r>
          <w:rPr>
            <w:rStyle w:val="a5"/>
            <w:rFonts w:eastAsia="Arial"/>
            <w:sz w:val="20"/>
            <w:szCs w:val="20"/>
          </w:rPr>
          <w:t>Earthjustice 성명</w:t>
        </w:r>
      </w:hyperlink>
    </w:p>
    <w:p w14:paraId="029310EE" w14:textId="77777777" w:rsidR="009E2FB4" w:rsidRDefault="00000000">
      <w:pPr>
        <w:pStyle w:val="a4"/>
        <w:numPr>
          <w:ilvl w:val="0"/>
          <w:numId w:val="4"/>
        </w:numPr>
        <w:spacing w:before="40" w:after="40"/>
      </w:pPr>
      <w:hyperlink r:id="rId13" w:history="1">
        <w:r>
          <w:rPr>
            <w:rStyle w:val="a5"/>
            <w:rFonts w:eastAsia="Arial"/>
            <w:sz w:val="20"/>
            <w:szCs w:val="20"/>
          </w:rPr>
          <w:t>캘리포니아 법무장관: 소송 예고</w:t>
        </w:r>
      </w:hyperlink>
    </w:p>
    <w:p w14:paraId="5EFD19C8" w14:textId="77777777" w:rsidR="009E2FB4" w:rsidRDefault="00000000">
      <w:pPr>
        <w:pStyle w:val="a4"/>
        <w:numPr>
          <w:ilvl w:val="0"/>
          <w:numId w:val="4"/>
        </w:numPr>
        <w:spacing w:before="40" w:after="40"/>
      </w:pPr>
      <w:hyperlink r:id="rId14" w:history="1">
        <w:r>
          <w:rPr>
            <w:rStyle w:val="a5"/>
            <w:rFonts w:eastAsia="Arial"/>
            <w:sz w:val="20"/>
            <w:szCs w:val="20"/>
          </w:rPr>
          <w:t>Georgetown Climate Center</w:t>
        </w:r>
      </w:hyperlink>
    </w:p>
    <w:p w14:paraId="2ED2FBA6" w14:textId="77777777" w:rsidR="009E2FB4" w:rsidRDefault="00000000">
      <w:pPr>
        <w:pStyle w:val="a4"/>
        <w:numPr>
          <w:ilvl w:val="0"/>
          <w:numId w:val="4"/>
        </w:numPr>
        <w:spacing w:before="40" w:after="40"/>
      </w:pPr>
      <w:hyperlink r:id="rId15" w:history="1">
        <w:r>
          <w:rPr>
            <w:rStyle w:val="a5"/>
            <w:rFonts w:eastAsia="Arial"/>
            <w:sz w:val="20"/>
            <w:szCs w:val="20"/>
          </w:rPr>
          <w:t>pv magazine: 태양광·클린에너지 법적 기반 상실</w:t>
        </w:r>
      </w:hyperlink>
    </w:p>
    <w:p w14:paraId="6F0CD403" w14:textId="77777777" w:rsidR="009E2FB4" w:rsidRDefault="00000000">
      <w:pPr>
        <w:pStyle w:val="a4"/>
        <w:numPr>
          <w:ilvl w:val="0"/>
          <w:numId w:val="4"/>
        </w:numPr>
        <w:spacing w:before="40" w:after="40"/>
      </w:pPr>
      <w:hyperlink r:id="rId16" w:history="1">
        <w:r>
          <w:rPr>
            <w:rStyle w:val="a5"/>
            <w:rFonts w:eastAsia="Arial"/>
            <w:sz w:val="20"/>
            <w:szCs w:val="20"/>
          </w:rPr>
          <w:t>Arnold &amp; Porter: IRA에서 OBBBA로</w:t>
        </w:r>
      </w:hyperlink>
    </w:p>
    <w:p w14:paraId="5A2E6695" w14:textId="77777777" w:rsidR="009E2FB4" w:rsidRDefault="00000000">
      <w:pPr>
        <w:spacing w:before="6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412246C2" w14:textId="77777777" w:rsidR="009E2FB4" w:rsidRDefault="00000000">
      <w:pPr>
        <w:spacing w:before="120" w:after="60"/>
      </w:pPr>
      <w:r>
        <w:rPr>
          <w:rFonts w:eastAsia="Arial"/>
          <w:i/>
          <w:iCs/>
          <w:color w:val="999999"/>
          <w:sz w:val="18"/>
          <w:szCs w:val="18"/>
        </w:rPr>
        <w:t>면책 조항: 본 보고서는 정보 제공 목적으로만 작성되었으며 투자 자문을 구성하지 않습니다. 모든 데이터는 2026년 2월 13일 기준 공개 정보에서 출처했습니다. 과거 성과가 미래 결과를 보장하지 않습니다.</w:t>
      </w:r>
    </w:p>
    <w:sectPr w:rsidR="009E2FB4">
      <w:headerReference w:type="default" r:id="rId17"/>
      <w:footerReference w:type="default" r:id="rId18"/>
      <w:pgSz w:w="12240" w:h="15840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DF0D4" w14:textId="77777777" w:rsidR="00E15C07" w:rsidRDefault="00E15C07">
      <w:r>
        <w:separator/>
      </w:r>
    </w:p>
  </w:endnote>
  <w:endnote w:type="continuationSeparator" w:id="0">
    <w:p w14:paraId="60E8C3F2" w14:textId="77777777" w:rsidR="00E15C07" w:rsidRDefault="00E15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45DDC" w14:textId="77777777" w:rsidR="009E2FB4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페이지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8436F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rFonts w:eastAsia="Arial"/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E8436F">
      <w:rPr>
        <w:rFonts w:eastAsia="Arial"/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24A06" w14:textId="77777777" w:rsidR="00E15C07" w:rsidRDefault="00E15C07">
      <w:r>
        <w:separator/>
      </w:r>
    </w:p>
  </w:footnote>
  <w:footnote w:type="continuationSeparator" w:id="0">
    <w:p w14:paraId="60DB7F33" w14:textId="77777777" w:rsidR="00E15C07" w:rsidRDefault="00E15C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5C72" w14:textId="77777777" w:rsidR="009E2FB4" w:rsidRDefault="00000000">
    <w:pPr>
      <w:jc w:val="right"/>
    </w:pPr>
    <w:proofErr w:type="spellStart"/>
    <w:r>
      <w:rPr>
        <w:rFonts w:eastAsia="Arial"/>
        <w:i/>
        <w:iCs/>
        <w:color w:val="999999"/>
        <w:sz w:val="16"/>
        <w:szCs w:val="16"/>
      </w:rPr>
      <w:t>트리플</w:t>
    </w:r>
    <w:proofErr w:type="spellEnd"/>
    <w:r>
      <w:rPr>
        <w:rFonts w:eastAsia="Arial"/>
        <w:i/>
        <w:iCs/>
        <w:color w:val="999999"/>
        <w:sz w:val="16"/>
        <w:szCs w:val="16"/>
      </w:rPr>
      <w:t xml:space="preserve"> </w:t>
    </w:r>
    <w:proofErr w:type="spellStart"/>
    <w:r>
      <w:rPr>
        <w:rFonts w:eastAsia="Arial"/>
        <w:i/>
        <w:iCs/>
        <w:color w:val="999999"/>
        <w:sz w:val="16"/>
        <w:szCs w:val="16"/>
      </w:rPr>
      <w:t>환경스캐닝</w:t>
    </w:r>
    <w:proofErr w:type="spellEnd"/>
    <w:r>
      <w:rPr>
        <w:rFonts w:eastAsia="Arial"/>
        <w:i/>
        <w:iCs/>
        <w:color w:val="999999"/>
        <w:sz w:val="16"/>
        <w:szCs w:val="16"/>
      </w:rPr>
      <w:t xml:space="preserve"> 시스템 | 투자 섹터 분석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5D7"/>
    <w:multiLevelType w:val="hybridMultilevel"/>
    <w:tmpl w:val="5E6240D2"/>
    <w:lvl w:ilvl="0" w:tplc="434043F0">
      <w:start w:val="1"/>
      <w:numFmt w:val="bullet"/>
      <w:lvlText w:val="•"/>
      <w:lvlJc w:val="left"/>
      <w:pPr>
        <w:ind w:left="720" w:hanging="360"/>
      </w:pPr>
    </w:lvl>
    <w:lvl w:ilvl="1" w:tplc="ABE281B0">
      <w:numFmt w:val="decimal"/>
      <w:lvlText w:val=""/>
      <w:lvlJc w:val="left"/>
    </w:lvl>
    <w:lvl w:ilvl="2" w:tplc="A336F26E">
      <w:numFmt w:val="decimal"/>
      <w:lvlText w:val=""/>
      <w:lvlJc w:val="left"/>
    </w:lvl>
    <w:lvl w:ilvl="3" w:tplc="11A43540">
      <w:numFmt w:val="decimal"/>
      <w:lvlText w:val=""/>
      <w:lvlJc w:val="left"/>
    </w:lvl>
    <w:lvl w:ilvl="4" w:tplc="3C700A6E">
      <w:numFmt w:val="decimal"/>
      <w:lvlText w:val=""/>
      <w:lvlJc w:val="left"/>
    </w:lvl>
    <w:lvl w:ilvl="5" w:tplc="99DAEFE2">
      <w:numFmt w:val="decimal"/>
      <w:lvlText w:val=""/>
      <w:lvlJc w:val="left"/>
    </w:lvl>
    <w:lvl w:ilvl="6" w:tplc="68948EA0">
      <w:numFmt w:val="decimal"/>
      <w:lvlText w:val=""/>
      <w:lvlJc w:val="left"/>
    </w:lvl>
    <w:lvl w:ilvl="7" w:tplc="025AB5F0">
      <w:numFmt w:val="decimal"/>
      <w:lvlText w:val=""/>
      <w:lvlJc w:val="left"/>
    </w:lvl>
    <w:lvl w:ilvl="8" w:tplc="548298B0">
      <w:numFmt w:val="decimal"/>
      <w:lvlText w:val=""/>
      <w:lvlJc w:val="left"/>
    </w:lvl>
  </w:abstractNum>
  <w:abstractNum w:abstractNumId="1" w15:restartNumberingAfterBreak="0">
    <w:nsid w:val="1A1D0D32"/>
    <w:multiLevelType w:val="hybridMultilevel"/>
    <w:tmpl w:val="B12203C0"/>
    <w:lvl w:ilvl="0" w:tplc="3CE8136E">
      <w:start w:val="1"/>
      <w:numFmt w:val="decimal"/>
      <w:lvlText w:val="%1."/>
      <w:lvlJc w:val="left"/>
      <w:pPr>
        <w:ind w:left="720" w:hanging="360"/>
      </w:pPr>
    </w:lvl>
    <w:lvl w:ilvl="1" w:tplc="B3AA2720">
      <w:numFmt w:val="decimal"/>
      <w:lvlText w:val=""/>
      <w:lvlJc w:val="left"/>
    </w:lvl>
    <w:lvl w:ilvl="2" w:tplc="75781FEA">
      <w:numFmt w:val="decimal"/>
      <w:lvlText w:val=""/>
      <w:lvlJc w:val="left"/>
    </w:lvl>
    <w:lvl w:ilvl="3" w:tplc="D9C60FBA">
      <w:numFmt w:val="decimal"/>
      <w:lvlText w:val=""/>
      <w:lvlJc w:val="left"/>
    </w:lvl>
    <w:lvl w:ilvl="4" w:tplc="D6CA903E">
      <w:numFmt w:val="decimal"/>
      <w:lvlText w:val=""/>
      <w:lvlJc w:val="left"/>
    </w:lvl>
    <w:lvl w:ilvl="5" w:tplc="3EA22FD8">
      <w:numFmt w:val="decimal"/>
      <w:lvlText w:val=""/>
      <w:lvlJc w:val="left"/>
    </w:lvl>
    <w:lvl w:ilvl="6" w:tplc="D696D700">
      <w:numFmt w:val="decimal"/>
      <w:lvlText w:val=""/>
      <w:lvlJc w:val="left"/>
    </w:lvl>
    <w:lvl w:ilvl="7" w:tplc="D56071B6">
      <w:numFmt w:val="decimal"/>
      <w:lvlText w:val=""/>
      <w:lvlJc w:val="left"/>
    </w:lvl>
    <w:lvl w:ilvl="8" w:tplc="F03CD274">
      <w:numFmt w:val="decimal"/>
      <w:lvlText w:val=""/>
      <w:lvlJc w:val="left"/>
    </w:lvl>
  </w:abstractNum>
  <w:abstractNum w:abstractNumId="2" w15:restartNumberingAfterBreak="0">
    <w:nsid w:val="24DA7FB4"/>
    <w:multiLevelType w:val="hybridMultilevel"/>
    <w:tmpl w:val="C1DA4F06"/>
    <w:lvl w:ilvl="0" w:tplc="070C98DE">
      <w:start w:val="1"/>
      <w:numFmt w:val="decimal"/>
      <w:lvlText w:val="%1."/>
      <w:lvlJc w:val="left"/>
      <w:pPr>
        <w:ind w:left="720" w:hanging="360"/>
      </w:pPr>
    </w:lvl>
    <w:lvl w:ilvl="1" w:tplc="1886325C">
      <w:numFmt w:val="decimal"/>
      <w:lvlText w:val=""/>
      <w:lvlJc w:val="left"/>
    </w:lvl>
    <w:lvl w:ilvl="2" w:tplc="6CC40DD0">
      <w:numFmt w:val="decimal"/>
      <w:lvlText w:val=""/>
      <w:lvlJc w:val="left"/>
    </w:lvl>
    <w:lvl w:ilvl="3" w:tplc="2CB0E83C">
      <w:numFmt w:val="decimal"/>
      <w:lvlText w:val=""/>
      <w:lvlJc w:val="left"/>
    </w:lvl>
    <w:lvl w:ilvl="4" w:tplc="D63C4BFC">
      <w:numFmt w:val="decimal"/>
      <w:lvlText w:val=""/>
      <w:lvlJc w:val="left"/>
    </w:lvl>
    <w:lvl w:ilvl="5" w:tplc="87786DA4">
      <w:numFmt w:val="decimal"/>
      <w:lvlText w:val=""/>
      <w:lvlJc w:val="left"/>
    </w:lvl>
    <w:lvl w:ilvl="6" w:tplc="97FE8EE8">
      <w:numFmt w:val="decimal"/>
      <w:lvlText w:val=""/>
      <w:lvlJc w:val="left"/>
    </w:lvl>
    <w:lvl w:ilvl="7" w:tplc="0024D634">
      <w:numFmt w:val="decimal"/>
      <w:lvlText w:val=""/>
      <w:lvlJc w:val="left"/>
    </w:lvl>
    <w:lvl w:ilvl="8" w:tplc="18E8DE26">
      <w:numFmt w:val="decimal"/>
      <w:lvlText w:val=""/>
      <w:lvlJc w:val="left"/>
    </w:lvl>
  </w:abstractNum>
  <w:abstractNum w:abstractNumId="3" w15:restartNumberingAfterBreak="0">
    <w:nsid w:val="50243F40"/>
    <w:multiLevelType w:val="hybridMultilevel"/>
    <w:tmpl w:val="73D2B18C"/>
    <w:lvl w:ilvl="0" w:tplc="E604C5BC">
      <w:start w:val="1"/>
      <w:numFmt w:val="bullet"/>
      <w:lvlText w:val="●"/>
      <w:lvlJc w:val="left"/>
      <w:pPr>
        <w:ind w:left="720" w:hanging="360"/>
      </w:pPr>
    </w:lvl>
    <w:lvl w:ilvl="1" w:tplc="6F1CEFA2">
      <w:start w:val="1"/>
      <w:numFmt w:val="bullet"/>
      <w:lvlText w:val="○"/>
      <w:lvlJc w:val="left"/>
      <w:pPr>
        <w:ind w:left="1440" w:hanging="360"/>
      </w:pPr>
    </w:lvl>
    <w:lvl w:ilvl="2" w:tplc="D9F882DE">
      <w:start w:val="1"/>
      <w:numFmt w:val="bullet"/>
      <w:lvlText w:val="■"/>
      <w:lvlJc w:val="left"/>
      <w:pPr>
        <w:ind w:left="2160" w:hanging="360"/>
      </w:pPr>
    </w:lvl>
    <w:lvl w:ilvl="3" w:tplc="E91C740E">
      <w:start w:val="1"/>
      <w:numFmt w:val="bullet"/>
      <w:lvlText w:val="●"/>
      <w:lvlJc w:val="left"/>
      <w:pPr>
        <w:ind w:left="2880" w:hanging="360"/>
      </w:pPr>
    </w:lvl>
    <w:lvl w:ilvl="4" w:tplc="BA88AB0A">
      <w:start w:val="1"/>
      <w:numFmt w:val="bullet"/>
      <w:lvlText w:val="○"/>
      <w:lvlJc w:val="left"/>
      <w:pPr>
        <w:ind w:left="3600" w:hanging="360"/>
      </w:pPr>
    </w:lvl>
    <w:lvl w:ilvl="5" w:tplc="1A86EFD4">
      <w:start w:val="1"/>
      <w:numFmt w:val="bullet"/>
      <w:lvlText w:val="■"/>
      <w:lvlJc w:val="left"/>
      <w:pPr>
        <w:ind w:left="4320" w:hanging="360"/>
      </w:pPr>
    </w:lvl>
    <w:lvl w:ilvl="6" w:tplc="5FBE8354">
      <w:start w:val="1"/>
      <w:numFmt w:val="bullet"/>
      <w:lvlText w:val="●"/>
      <w:lvlJc w:val="left"/>
      <w:pPr>
        <w:ind w:left="5040" w:hanging="360"/>
      </w:pPr>
    </w:lvl>
    <w:lvl w:ilvl="7" w:tplc="9BE66454">
      <w:start w:val="1"/>
      <w:numFmt w:val="bullet"/>
      <w:lvlText w:val="●"/>
      <w:lvlJc w:val="left"/>
      <w:pPr>
        <w:ind w:left="5760" w:hanging="360"/>
      </w:pPr>
    </w:lvl>
    <w:lvl w:ilvl="8" w:tplc="60B45964">
      <w:start w:val="1"/>
      <w:numFmt w:val="bullet"/>
      <w:lvlText w:val="●"/>
      <w:lvlJc w:val="left"/>
      <w:pPr>
        <w:ind w:left="6480" w:hanging="360"/>
      </w:pPr>
    </w:lvl>
  </w:abstractNum>
  <w:num w:numId="1" w16cid:durableId="1015887829">
    <w:abstractNumId w:val="3"/>
    <w:lvlOverride w:ilvl="0">
      <w:startOverride w:val="1"/>
    </w:lvlOverride>
  </w:num>
  <w:num w:numId="2" w16cid:durableId="1959218541">
    <w:abstractNumId w:val="0"/>
    <w:lvlOverride w:ilvl="0">
      <w:startOverride w:val="1"/>
    </w:lvlOverride>
  </w:num>
  <w:num w:numId="3" w16cid:durableId="2013868399">
    <w:abstractNumId w:val="2"/>
    <w:lvlOverride w:ilvl="0">
      <w:startOverride w:val="1"/>
    </w:lvlOverride>
  </w:num>
  <w:num w:numId="4" w16cid:durableId="10460230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48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FB4"/>
    <w:rsid w:val="009E2FB4"/>
    <w:rsid w:val="00C56570"/>
    <w:rsid w:val="00E15C07"/>
    <w:rsid w:val="00E8436F"/>
    <w:rsid w:val="00E8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6A3693"/>
  <w15:docId w15:val="{635D0721-E7C4-D141-83BA-9980CAEAF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3A5C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C5F8A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3D7AB5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nbc.com/2026/02/12/trump-epa-endangerment-finding-climate-change-greenhouse-gas.html" TargetMode="External"/><Relationship Id="rId13" Type="http://schemas.openxmlformats.org/officeDocument/2006/relationships/hyperlink" Target="https://oag.ca.gov/news/press-releases/california-attorney-general-rob-bonta-denounces-epa-rescission-greenhouse-0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npr.org/2026/02/11/nx-s1-5678273/trump-epa-climate-change-endangerment" TargetMode="External"/><Relationship Id="rId12" Type="http://schemas.openxmlformats.org/officeDocument/2006/relationships/hyperlink" Target="https://earthjustice.org/press/2026/earthjustice-endangerment-finding-statement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arnoldporter.com/en/perspectives/advisories/2025/07/from-ira-to-obbba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ri.org/insights/endangerment-finding-repeal-explained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v-magazine-usa.com/2026/02/12/trump-epa-repeals-endangerment-finding" TargetMode="External"/><Relationship Id="rId10" Type="http://schemas.openxmlformats.org/officeDocument/2006/relationships/hyperlink" Target="https://grist.org/politics/trump-epa-endangerment-finding-greenhouse-gases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nbc.com/2026/02/12/epa-endangerment-finding-repeal.html" TargetMode="External"/><Relationship Id="rId14" Type="http://schemas.openxmlformats.org/officeDocument/2006/relationships/hyperlink" Target="https://www.georgetownclimate.org/blog/epa-proposed-endangerment-finding-revocation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1524</Words>
  <Characters>5444</Characters>
  <Application>Microsoft Office Word</Application>
  <DocSecurity>0</DocSecurity>
  <Lines>388</Lines>
  <Paragraphs>409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윤식 최</cp:lastModifiedBy>
  <cp:revision>2</cp:revision>
  <dcterms:created xsi:type="dcterms:W3CDTF">2026-02-12T23:19:00Z</dcterms:created>
  <dcterms:modified xsi:type="dcterms:W3CDTF">2026-02-12T23:32:00Z</dcterms:modified>
</cp:coreProperties>
</file>