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999999"/>
          <w:sz w:val="28"/>
          <w:szCs w:val="28"/>
        </w:rPr>
        <w:t xml:space="preserve">INVESTMENT SECTOR ANALYSIS</w:t>
      </w:r>
    </w:p>
    <w:p>
      <w:pPr>
        <w:spacing w:after="100"/>
        <w:jc w:val="center"/>
      </w:pPr>
      <w:r>
        <w:rPr>
          <w:rFonts w:ascii="Arial" w:cs="Arial" w:eastAsia="Arial" w:hAnsi="Arial"/>
          <w:b/>
          <w:bCs/>
          <w:color w:val="1B3A5C"/>
          <w:sz w:val="52"/>
          <w:szCs w:val="52"/>
        </w:rPr>
        <w:t xml:space="preserve">EPA Endangerment Finding</w:t>
      </w:r>
    </w:p>
    <w:p>
      <w:pPr>
        <w:spacing w:after="400"/>
        <w:jc w:val="center"/>
      </w:pPr>
      <w:r>
        <w:rPr>
          <w:rFonts w:ascii="Arial" w:cs="Arial" w:eastAsia="Arial" w:hAnsi="Arial"/>
          <w:b/>
          <w:bCs/>
          <w:color w:val="2C5F8A"/>
          <w:sz w:val="36"/>
          <w:szCs w:val="36"/>
        </w:rPr>
        <w:t xml:space="preserve">Repeal Impact on Global Markets</w:t>
      </w:r>
    </w:p>
    <w:p>
      <w:pPr>
        <w:spacing w:after="60"/>
        <w:jc w:val="center"/>
      </w:pPr>
      <w:r>
        <w:rPr>
          <w:color w:val="CCCCCC"/>
          <w:sz w:val="20"/>
          <w:szCs w:val="20"/>
        </w:rPr>
        <w:t xml:space="preserve">────────────────────────────────────────</w:t>
      </w:r>
    </w:p>
    <w:p>
      <w:pPr>
        <w:spacing w:after="100"/>
        <w:jc w:val="center"/>
      </w:pPr>
      <w:r>
        <w:rPr>
          <w:rFonts w:ascii="Arial" w:cs="Arial" w:eastAsia="Arial" w:hAnsi="Arial"/>
          <w:color w:val="666666"/>
          <w:sz w:val="24"/>
          <w:szCs w:val="24"/>
        </w:rPr>
        <w:t xml:space="preserve">Triple Environmental Scanning System</w:t>
      </w:r>
    </w:p>
    <w:p>
      <w:pPr>
        <w:spacing w:after="60"/>
        <w:jc w:val="center"/>
      </w:pPr>
      <w:r>
        <w:rPr>
          <w:rFonts w:ascii="Arial" w:cs="Arial" w:eastAsia="Arial" w:hAnsi="Arial"/>
          <w:color w:val="888888"/>
          <w:sz w:val="22"/>
          <w:szCs w:val="22"/>
        </w:rPr>
        <w:t xml:space="preserve">WF3 Signal Deep Dive Report</w:t>
      </w:r>
    </w:p>
    <w:p>
      <w:pPr>
        <w:spacing w:after="200"/>
        <w:jc w:val="center"/>
      </w:pPr>
      <w:r>
        <w:rPr>
          <w:rFonts w:ascii="Arial" w:cs="Arial" w:eastAsia="Arial" w:hAnsi="Arial"/>
          <w:color w:val="888888"/>
          <w:sz w:val="22"/>
          <w:szCs w:val="22"/>
        </w:rPr>
        <w:t xml:space="preserve">2026-02-13</w:t>
      </w:r>
    </w:p>
    <w:p>
      <w:pPr>
        <w:spacing w:after="60"/>
        <w:jc w:val="center"/>
      </w:pPr>
      <w:r>
        <w:rPr>
          <w:rFonts w:ascii="Arial" w:cs="Arial" w:eastAsia="Arial" w:hAnsi="Arial"/>
          <w:b/>
          <w:bCs/>
          <w:color w:val="CC6600"/>
          <w:sz w:val="20"/>
          <w:szCs w:val="20"/>
        </w:rPr>
        <w:t xml:space="preserve">pSST 90/100 | FSSF: Wild Card | Tipping Point: ORANGE</w:t>
      </w:r>
    </w:p>
    <w:p>
      <w:r>
        <w:br w:type="page"/>
      </w:r>
    </w:p>
    <w:p>
      <w:pPr>
        <w:pStyle w:val="Heading1"/>
        <w:spacing w:before="360" w:after="200"/>
      </w:pPr>
      <w:r>
        <w:t xml:space="preserve">Signal Overview</w:t>
      </w:r>
    </w:p>
    <w:p>
      <w:pPr>
        <w:spacing w:before="120" w:after="120"/>
      </w:pPr>
      <w:r>
        <w:rPr>
          <w:rFonts w:ascii="Arial" w:cs="Arial" w:eastAsia="Arial" w:hAnsi="Arial"/>
          <w:color w:val="333333"/>
          <w:sz w:val="22"/>
          <w:szCs w:val="22"/>
        </w:rPr>
        <w:t xml:space="preserve">The following table summarizes the original signal detected by the Triple Environmental Scanning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Item</w:t>
            </w:r>
          </w:p>
        </w:tc>
        <w:tc>
          <w:tcPr>
            <w:tcW w:type="dxa" w:w="66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Content</w:t>
            </w:r>
          </w:p>
        </w:tc>
      </w:tr>
      <w:tr>
        <w:tc>
          <w:tcPr>
            <w:tcW w:type="dxa" w:w="3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Timeline Map Position</w:t>
            </w:r>
          </w:p>
        </w:tc>
        <w:tc>
          <w:tcPr>
            <w:tcW w:type="dxa" w:w="6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HIGH: Energy &amp; Climate Transformation, Feb 11</w:t>
            </w:r>
          </w:p>
        </w:tc>
      </w:tr>
      <w:tr>
        <w:tc>
          <w:tcPr>
            <w:tcW w:type="dxa" w:w="3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Signal</w:t>
            </w:r>
          </w:p>
        </w:tc>
        <w:tc>
          <w:tcPr>
            <w:tcW w:type="dxa" w:w="66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Trump EPA Endangerment Finding Repeal</w:t>
            </w:r>
          </w:p>
        </w:tc>
      </w:tr>
      <w:tr>
        <w:tc>
          <w:tcPr>
            <w:tcW w:type="dxa" w:w="3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pSST Score</w:t>
            </w:r>
          </w:p>
        </w:tc>
        <w:tc>
          <w:tcPr>
            <w:tcW w:type="dxa" w:w="6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90/100 (Rank 8 overall)</w:t>
            </w:r>
          </w:p>
        </w:tc>
      </w:tr>
      <w:tr>
        <w:tc>
          <w:tcPr>
            <w:tcW w:type="dxa" w:w="3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FSSF Type</w:t>
            </w:r>
          </w:p>
        </w:tc>
        <w:tc>
          <w:tcPr>
            <w:tcW w:type="dxa" w:w="66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Wild Card — extreme impact, uncertain path</w:t>
            </w:r>
          </w:p>
        </w:tc>
      </w:tr>
      <w:tr>
        <w:tc>
          <w:tcPr>
            <w:tcW w:type="dxa" w:w="3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Time Horizon</w:t>
            </w:r>
          </w:p>
        </w:tc>
        <w:tc>
          <w:tcPr>
            <w:tcW w:type="dxa" w:w="6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H2 (2-7 years)</w:t>
            </w:r>
          </w:p>
        </w:tc>
      </w:tr>
      <w:tr>
        <w:tc>
          <w:tcPr>
            <w:tcW w:type="dxa" w:w="3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Tipping Point Alert</w:t>
            </w:r>
          </w:p>
        </w:tc>
        <w:tc>
          <w:tcPr>
            <w:tcW w:type="dxa" w:w="66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ORANGE level</w:t>
            </w:r>
          </w:p>
        </w:tc>
      </w:tr>
      <w:tr>
        <w:tc>
          <w:tcPr>
            <w:tcW w:type="dxa" w:w="3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Source</w:t>
            </w:r>
          </w:p>
        </w:tc>
        <w:tc>
          <w:tcPr>
            <w:tcW w:type="dxa" w:w="6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Kyunghyang Shinmun, 2026-02-10; WF3 (Naver News)</w:t>
            </w:r>
          </w:p>
        </w:tc>
      </w:tr>
    </w:tbl>
    <w:p>
      <w:r>
        <w:br w:type="page"/>
      </w:r>
    </w:p>
    <w:p>
      <w:pPr>
        <w:pStyle w:val="Heading1"/>
        <w:spacing w:before="360" w:after="200"/>
      </w:pPr>
      <w:r>
        <w:t xml:space="preserve">1. Endangerment Finding — Background</w:t>
      </w:r>
    </w:p>
    <w:p>
      <w:pPr>
        <w:pStyle w:val="Heading2"/>
        <w:spacing w:before="280" w:after="160"/>
      </w:pPr>
      <w:r>
        <w:t xml:space="preserve">1.1 Legal Basis</w:t>
      </w:r>
    </w:p>
    <w:p>
      <w:pPr>
        <w:pStyle w:val="ListParagraph"/>
        <w:numPr>
          <w:ilvl w:val="0"/>
          <w:numId w:val="2"/>
        </w:numPr>
        <w:spacing w:before="60" w:after="60"/>
      </w:pPr>
      <w:r>
        <w:rPr>
          <w:rFonts w:ascii="Arial" w:cs="Arial" w:eastAsia="Arial" w:hAnsi="Arial"/>
          <w:b/>
          <w:bCs/>
          <w:sz w:val="21"/>
          <w:szCs w:val="21"/>
        </w:rPr>
        <w:t xml:space="preserve">2007 Massachusetts v. EPA </w:t>
      </w:r>
      <w:r>
        <w:rPr>
          <w:rFonts w:ascii="Arial" w:cs="Arial" w:eastAsia="Arial" w:hAnsi="Arial"/>
          <w:sz w:val="21"/>
          <w:szCs w:val="21"/>
        </w:rPr>
        <w:t xml:space="preserve">(5:4): GHGs = Clean Air Act air pollutants. EPA must determine endangerment.</w:t>
      </w:r>
    </w:p>
    <w:p>
      <w:pPr>
        <w:pStyle w:val="ListParagraph"/>
        <w:numPr>
          <w:ilvl w:val="0"/>
          <w:numId w:val="2"/>
        </w:numPr>
        <w:spacing w:before="60" w:after="60"/>
      </w:pPr>
      <w:r>
        <w:rPr>
          <w:rFonts w:ascii="Arial" w:cs="Arial" w:eastAsia="Arial" w:hAnsi="Arial"/>
          <w:b/>
          <w:bCs/>
          <w:sz w:val="21"/>
          <w:szCs w:val="21"/>
        </w:rPr>
        <w:t xml:space="preserve">2009 EPA Endangerment Finding: </w:t>
      </w:r>
      <w:r>
        <w:rPr>
          <w:rFonts w:ascii="Arial" w:cs="Arial" w:eastAsia="Arial" w:hAnsi="Arial"/>
          <w:sz w:val="21"/>
          <w:szCs w:val="21"/>
        </w:rPr>
        <w:t xml:space="preserve">6 GHGs (CO₂, CH₄, N₂O, HFCs, PFCs, SF₆) endanger public health &amp; welfare.</w:t>
      </w:r>
    </w:p>
    <w:p>
      <w:pPr>
        <w:pStyle w:val="ListParagraph"/>
        <w:numPr>
          <w:ilvl w:val="0"/>
          <w:numId w:val="2"/>
        </w:numPr>
        <w:spacing w:before="60" w:after="60"/>
      </w:pPr>
      <w:r>
        <w:rPr>
          <w:rFonts w:ascii="Arial" w:cs="Arial" w:eastAsia="Arial" w:hAnsi="Arial"/>
          <w:b/>
          <w:bCs/>
          <w:sz w:val="21"/>
          <w:szCs w:val="21"/>
        </w:rPr>
        <w:t xml:space="preserve">2026-02-12 Repeal: </w:t>
      </w:r>
      <w:r>
        <w:rPr>
          <w:rFonts w:ascii="Arial" w:cs="Arial" w:eastAsia="Arial" w:hAnsi="Arial"/>
          <w:sz w:val="21"/>
          <w:szCs w:val="21"/>
        </w:rPr>
        <w:t xml:space="preserve">EPA Administrator Lee Zeldin formally rescinded — called "largest deregulatory action in US history."</w:t>
      </w:r>
    </w:p>
    <w:p>
      <w:pPr>
        <w:pStyle w:val="Heading2"/>
        <w:spacing w:before="280" w:after="160"/>
      </w:pPr>
      <w:r>
        <w:t xml:space="preserve">1.2 Federal Regulations Invalidated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240"/>
      </w:tblGrid>
      <w:tr>
        <w:trPr>
          <w:tblHeader/>
        </w:trPr>
        <w:tc>
          <w:tcPr>
            <w:tcW w:type="dxa" w:w="28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Regulatory Area</w:t>
            </w:r>
          </w:p>
        </w:tc>
        <w:tc>
          <w:tcPr>
            <w:tcW w:type="dxa" w:w="38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Specifics</w:t>
            </w:r>
          </w:p>
        </w:tc>
        <w:tc>
          <w:tcPr>
            <w:tcW w:type="dxa" w:w="32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Scale of Impact</w:t>
            </w:r>
          </w:p>
        </w:tc>
      </w:tr>
      <w:tr>
        <w:tc>
          <w:tcPr>
            <w:tcW w:type="dxa" w:w="2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Vehicle GHG Standards</w:t>
            </w:r>
          </w:p>
        </w:tc>
        <w:tc>
          <w:tcPr>
            <w:tcW w:type="dxa" w:w="3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MY2012-2027+ all vehicle/engine emissions</w:t>
            </w:r>
          </w:p>
        </w:tc>
        <w:tc>
          <w:tcPr>
            <w:tcW w:type="dxa" w:w="32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~17M new vehicles/year</w:t>
            </w:r>
          </w:p>
        </w:tc>
      </w:tr>
      <w:tr>
        <w:tc>
          <w:tcPr>
            <w:tcW w:type="dxa" w:w="28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Power Plant Carbon Rules</w:t>
            </w:r>
          </w:p>
        </w:tc>
        <w:tc>
          <w:tcPr>
            <w:tcW w:type="dxa" w:w="38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Coal/gas plant CO₂ limits</w:t>
            </w:r>
          </w:p>
        </w:tc>
        <w:tc>
          <w:tcPr>
            <w:tcW w:type="dxa" w:w="32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Entire US power sector</w:t>
            </w:r>
          </w:p>
        </w:tc>
      </w:tr>
      <w:tr>
        <w:tc>
          <w:tcPr>
            <w:tcW w:type="dxa" w:w="2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Oil &amp; Gas Methane Rules</w:t>
            </w:r>
          </w:p>
        </w:tc>
        <w:tc>
          <w:tcPr>
            <w:tcW w:type="dxa" w:w="3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Facility methane leak regulations</w:t>
            </w:r>
          </w:p>
        </w:tc>
        <w:tc>
          <w:tcPr>
            <w:tcW w:type="dxa" w:w="32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Hundreds of thousands of wells</w:t>
            </w:r>
          </w:p>
        </w:tc>
      </w:tr>
      <w:tr>
        <w:tc>
          <w:tcPr>
            <w:tcW w:type="dxa" w:w="28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CAFE Fuel Economy</w:t>
            </w:r>
          </w:p>
        </w:tc>
        <w:tc>
          <w:tcPr>
            <w:tcW w:type="dxa" w:w="38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Legal basis for corporate avg fuel economy</w:t>
            </w:r>
          </w:p>
        </w:tc>
        <w:tc>
          <w:tcPr>
            <w:tcW w:type="dxa" w:w="32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All automakers</w:t>
            </w:r>
          </w:p>
        </w:tc>
      </w:tr>
      <w:tr>
        <w:tc>
          <w:tcPr>
            <w:tcW w:type="dxa" w:w="2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HFC Regulations</w:t>
            </w:r>
          </w:p>
        </w:tc>
        <w:tc>
          <w:tcPr>
            <w:tcW w:type="dxa" w:w="3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Hydrofluorocarbon refrigerant rules</w:t>
            </w:r>
          </w:p>
        </w:tc>
        <w:tc>
          <w:tcPr>
            <w:tcW w:type="dxa" w:w="32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HVAC/industrial refrigerant market</w:t>
            </w:r>
          </w:p>
        </w:tc>
      </w:tr>
    </w:tbl>
    <w:p>
      <w:pPr>
        <w:spacing w:before="120" w:after="120"/>
        <w:ind w:left="360" w:right="360"/>
      </w:pPr>
      <w:r>
        <w:rPr>
          <w:rFonts w:ascii="Arial" w:cs="Arial" w:eastAsia="Arial" w:hAnsi="Arial"/>
          <w:i/>
          <w:iCs/>
          <w:color w:val="8B4513"/>
          <w:sz w:val="20"/>
          <w:szCs w:val="20"/>
        </w:rPr>
        <w:t xml:space="preserve">White House claims: ~$1.3T consumer savings; $2,400+ per vehicle price reduction</w:t>
      </w:r>
    </w:p>
    <w:p>
      <w:r>
        <w:br w:type="page"/>
      </w:r>
    </w:p>
    <w:p>
      <w:pPr>
        <w:pStyle w:val="Heading1"/>
        <w:spacing w:before="360" w:after="200"/>
      </w:pPr>
      <w:r>
        <w:t xml:space="preserve">2. Direct Beneficiary Sectors (Deregulation → Cost Savings)</w:t>
      </w:r>
    </w:p>
    <w:p>
      <w:pPr>
        <w:pStyle w:val="Heading2"/>
        <w:spacing w:before="280" w:after="160"/>
      </w:pPr>
      <w:r>
        <w:t xml:space="preserve">2.1 Fossil Fuels (Oil, Natural Gas, Coal)</w:t>
      </w:r>
    </w:p>
    <w:p>
      <w:pPr>
        <w:spacing w:before="120" w:after="60"/>
      </w:pPr>
      <w:r>
        <w:rPr>
          <w:rFonts w:ascii="Arial" w:cs="Arial" w:eastAsia="Arial" w:hAnsi="Arial"/>
          <w:b/>
          <w:bCs/>
          <w:color w:val="333333"/>
          <w:sz w:val="22"/>
          <w:szCs w:val="22"/>
        </w:rPr>
        <w:t xml:space="preserve">Mechanism: Methane leak rule repeal + power plant CO₂ standard elimination + new drilling deregulation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560"/>
        <w:gridCol w:w="1500"/>
      </w:tblGrid>
      <w:tr>
        <w:trPr>
          <w:tblHeader/>
        </w:trPr>
        <w:tc>
          <w:tcPr>
            <w:tcW w:type="dxa" w:w="28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ETF</w:t>
            </w:r>
          </w:p>
        </w:tc>
        <w:tc>
          <w:tcPr>
            <w:tcW w:type="dxa" w:w="15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AUM</w:t>
            </w:r>
          </w:p>
        </w:tc>
        <w:tc>
          <w:tcPr>
            <w:tcW w:type="dxa" w:w="356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Top Holdings</w:t>
            </w:r>
          </w:p>
        </w:tc>
        <w:tc>
          <w:tcPr>
            <w:tcW w:type="dxa" w:w="15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Expense Ratio</w:t>
            </w:r>
          </w:p>
        </w:tc>
      </w:tr>
      <w:tr>
        <w:tc>
          <w:tcPr>
            <w:tcW w:type="dxa" w:w="2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XLE (Energy Select Sector SPDR)</w:t>
            </w:r>
          </w:p>
        </w:tc>
        <w:tc>
          <w:tcPr>
            <w:tcW w:type="dxa" w:w="15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$31.5B</w:t>
            </w:r>
          </w:p>
        </w:tc>
        <w:tc>
          <w:tcPr>
            <w:tcW w:type="dxa" w:w="356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ExxonMobil (24.95%), Chevron (17.59%)</w:t>
            </w:r>
          </w:p>
        </w:tc>
        <w:tc>
          <w:tcPr>
            <w:tcW w:type="dxa" w:w="15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0.09%</w:t>
            </w:r>
          </w:p>
        </w:tc>
      </w:tr>
      <w:tr>
        <w:tc>
          <w:tcPr>
            <w:tcW w:type="dxa" w:w="28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VDE (Vanguard Energy ETF)</w:t>
            </w:r>
          </w:p>
        </w:tc>
        <w:tc>
          <w:tcPr>
            <w:tcW w:type="dxa" w:w="15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$8.6B</w:t>
            </w:r>
          </w:p>
        </w:tc>
        <w:tc>
          <w:tcPr>
            <w:tcW w:type="dxa" w:w="356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ExxonMobil (22.87%), Chevron (15.02%)</w:t>
            </w:r>
          </w:p>
        </w:tc>
        <w:tc>
          <w:tcPr>
            <w:tcW w:type="dxa" w:w="15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0.09%</w:t>
            </w:r>
          </w:p>
        </w:tc>
      </w:tr>
      <w:tr>
        <w:tc>
          <w:tcPr>
            <w:tcW w:type="dxa" w:w="2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XOP (SPDR S&amp;P Oil &amp; Gas E&amp;P)</w:t>
            </w:r>
          </w:p>
        </w:tc>
        <w:tc>
          <w:tcPr>
            <w:tcW w:type="dxa" w:w="15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w:t>
            </w:r>
          </w:p>
        </w:tc>
        <w:tc>
          <w:tcPr>
            <w:tcW w:type="dxa" w:w="356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Equal-weighted E&amp;P</w:t>
            </w:r>
          </w:p>
        </w:tc>
        <w:tc>
          <w:tcPr>
            <w:tcW w:type="dxa" w:w="15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0.35%</w:t>
            </w:r>
          </w:p>
        </w:tc>
      </w:tr>
    </w:tbl>
    <w:p>
      <w:pPr>
        <w:pStyle w:val="Heading3"/>
        <w:spacing w:before="200" w:after="120"/>
      </w:pPr>
      <w:r>
        <w:t xml:space="preserve">Coal Sector Special Situation</w:t>
      </w:r>
    </w:p>
    <w:p>
      <w:pPr>
        <w:pStyle w:val="ListParagraph"/>
        <w:numPr>
          <w:ilvl w:val="0"/>
          <w:numId w:val="2"/>
        </w:numPr>
        <w:spacing w:before="60" w:after="60"/>
      </w:pPr>
      <w:r>
        <w:rPr>
          <w:rFonts w:ascii="Arial" w:cs="Arial" w:eastAsia="Arial" w:hAnsi="Arial"/>
          <w:sz w:val="21"/>
          <w:szCs w:val="21"/>
        </w:rPr>
        <w:t xml:space="preserve">2025.4 Coal executive orders → Peabody +9.2%, Ramaco +13.9% (same day)</w:t>
      </w:r>
    </w:p>
    <w:p>
      <w:pPr>
        <w:pStyle w:val="ListParagraph"/>
        <w:numPr>
          <w:ilvl w:val="0"/>
          <w:numId w:val="2"/>
        </w:numPr>
        <w:spacing w:before="60" w:after="60"/>
      </w:pPr>
      <w:r>
        <w:rPr>
          <w:rFonts w:ascii="Arial" w:cs="Arial" w:eastAsia="Arial" w:hAnsi="Arial"/>
          <w:sz w:val="21"/>
          <w:szCs w:val="21"/>
        </w:rPr>
        <w:t xml:space="preserve">2026.2.11 Pentagon coal purchase order → Peabody +4% (after-hours)</w:t>
      </w:r>
    </w:p>
    <w:p>
      <w:pPr>
        <w:pStyle w:val="ListParagraph"/>
        <w:numPr>
          <w:ilvl w:val="0"/>
          <w:numId w:val="2"/>
        </w:numPr>
        <w:spacing w:before="60" w:after="60"/>
      </w:pPr>
      <w:r>
        <w:rPr>
          <w:rFonts w:ascii="Arial" w:cs="Arial" w:eastAsia="Arial" w:hAnsi="Arial"/>
          <w:b/>
          <w:bCs/>
          <w:color w:val="CC0000"/>
          <w:sz w:val="21"/>
          <w:szCs w:val="21"/>
        </w:rPr>
        <w:t xml:space="preserve">However: </w:t>
      </w:r>
      <w:r>
        <w:rPr>
          <w:rFonts w:ascii="Arial" w:cs="Arial" w:eastAsia="Arial" w:hAnsi="Arial"/>
          <w:sz w:val="21"/>
          <w:szCs w:val="21"/>
        </w:rPr>
        <w:t xml:space="preserve">Peabody -60% since Election Day (2024.11) → policy momentum ≠ economic competitiveness</w:t>
      </w:r>
    </w:p>
    <w:p>
      <w:pPr>
        <w:pStyle w:val="Heading2"/>
        <w:spacing w:before="280" w:after="160"/>
      </w:pPr>
      <w:r>
        <w:t xml:space="preserve">2.2 Automotive OEM (Emissions Standards Relaxation)</w:t>
      </w:r>
    </w:p>
    <w:p>
      <w:pPr>
        <w:spacing w:before="120" w:after="60"/>
      </w:pPr>
      <w:r>
        <w:rPr>
          <w:rFonts w:ascii="Arial" w:cs="Arial" w:eastAsia="Arial" w:hAnsi="Arial"/>
          <w:b/>
          <w:bCs/>
          <w:color w:val="333333"/>
          <w:sz w:val="22"/>
          <w:szCs w:val="22"/>
        </w:rPr>
        <w:t xml:space="preserve">Mechanism: Reduced EV transition pressure, high-margin SUV/truck production maintained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Company</w:t>
            </w:r>
          </w:p>
        </w:tc>
        <w:tc>
          <w:tcPr>
            <w:tcW w:type="dxa" w:w="66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Benefit</w:t>
            </w:r>
          </w:p>
        </w:tc>
      </w:tr>
      <w:tr>
        <w:tc>
          <w:tcPr>
            <w:tcW w:type="dxa" w:w="3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GM (General Motors)</w:t>
            </w:r>
          </w:p>
        </w:tc>
        <w:tc>
          <w:tcPr>
            <w:tcW w:type="dxa" w:w="6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SUV/truck-centric portfolio, EV capex reduction possible</w:t>
            </w:r>
          </w:p>
        </w:tc>
      </w:tr>
      <w:tr>
        <w:tc>
          <w:tcPr>
            <w:tcW w:type="dxa" w:w="3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Ford Motor</w:t>
            </w:r>
          </w:p>
        </w:tc>
        <w:tc>
          <w:tcPr>
            <w:tcW w:type="dxa" w:w="66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F-150/Bronco large vehicle lineup, fuel economy penalty reduced</w:t>
            </w:r>
          </w:p>
        </w:tc>
      </w:tr>
      <w:tr>
        <w:tc>
          <w:tcPr>
            <w:tcW w:type="dxa" w:w="3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Stellantis</w:t>
            </w:r>
          </w:p>
        </w:tc>
        <w:tc>
          <w:tcPr>
            <w:tcW w:type="dxa" w:w="6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RAM/Jeep compliance cost savings</w:t>
            </w:r>
          </w:p>
        </w:tc>
      </w:tr>
      <w:tr>
        <w:tc>
          <w:tcPr>
            <w:tcW w:type="dxa" w:w="3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Toyota</w:t>
            </w:r>
          </w:p>
        </w:tc>
        <w:tc>
          <w:tcPr>
            <w:tcW w:type="dxa" w:w="66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Hybrid leader, maintains tech edge post-deregulation</w:t>
            </w:r>
          </w:p>
        </w:tc>
      </w:tr>
    </w:tbl>
    <w:p>
      <w:pPr>
        <w:spacing w:before="120" w:after="120"/>
        <w:ind w:left="360" w:right="360"/>
      </w:pPr>
      <w:r>
        <w:rPr>
          <w:rFonts w:ascii="Arial" w:cs="Arial" w:eastAsia="Arial" w:hAnsi="Arial"/>
          <w:i/>
          <w:iCs/>
          <w:color w:val="8B4513"/>
          <w:sz w:val="20"/>
          <w:szCs w:val="20"/>
        </w:rPr>
        <w:t xml:space="preserve">Tesla headwind: $2.8B in emissions credit sales (2025) at risk — other OEMs no longer need to buy credits</w:t>
      </w:r>
    </w:p>
    <w:p>
      <w:pPr>
        <w:pStyle w:val="Heading2"/>
        <w:spacing w:before="280" w:after="160"/>
      </w:pPr>
      <w:r>
        <w:t xml:space="preserve">2.3 Heavy Industry, Aviation, Transportation</w:t>
      </w:r>
    </w:p>
    <w:p>
      <w:pPr>
        <w:pStyle w:val="ListParagraph"/>
        <w:numPr>
          <w:ilvl w:val="0"/>
          <w:numId w:val="2"/>
        </w:numPr>
        <w:spacing w:before="60" w:after="60"/>
      </w:pPr>
      <w:r>
        <w:rPr>
          <w:rFonts w:ascii="Arial" w:cs="Arial" w:eastAsia="Arial" w:hAnsi="Arial"/>
          <w:sz w:val="21"/>
          <w:szCs w:val="21"/>
        </w:rPr>
        <w:t xml:space="preserve">Industrial GHG regulation eased, fuel cost savings, carbon compliance costs eliminated</w:t>
      </w:r>
    </w:p>
    <w:p>
      <w:pPr>
        <w:pStyle w:val="ListParagraph"/>
        <w:numPr>
          <w:ilvl w:val="0"/>
          <w:numId w:val="2"/>
        </w:numPr>
        <w:spacing w:before="60" w:after="60"/>
      </w:pPr>
      <w:r>
        <w:rPr>
          <w:rFonts w:ascii="Arial" w:cs="Arial" w:eastAsia="Arial" w:hAnsi="Arial"/>
          <w:b/>
          <w:bCs/>
          <w:sz w:val="21"/>
          <w:szCs w:val="21"/>
        </w:rPr>
        <w:t xml:space="preserve">Aviation: </w:t>
      </w:r>
      <w:r>
        <w:rPr>
          <w:rFonts w:ascii="Arial" w:cs="Arial" w:eastAsia="Arial" w:hAnsi="Arial"/>
          <w:sz w:val="21"/>
          <w:szCs w:val="21"/>
        </w:rPr>
        <w:t xml:space="preserve">CORSIA-linked federal standards relaxed → ETF: JETS</w:t>
      </w:r>
    </w:p>
    <w:p>
      <w:pPr>
        <w:pStyle w:val="ListParagraph"/>
        <w:numPr>
          <w:ilvl w:val="0"/>
          <w:numId w:val="2"/>
        </w:numPr>
        <w:spacing w:before="60" w:after="60"/>
      </w:pPr>
      <w:r>
        <w:rPr>
          <w:rFonts w:ascii="Arial" w:cs="Arial" w:eastAsia="Arial" w:hAnsi="Arial"/>
          <w:b/>
          <w:bCs/>
          <w:sz w:val="21"/>
          <w:szCs w:val="21"/>
        </w:rPr>
        <w:t xml:space="preserve">Trucking/Shipping: </w:t>
      </w:r>
      <w:r>
        <w:rPr>
          <w:rFonts w:ascii="Arial" w:cs="Arial" w:eastAsia="Arial" w:hAnsi="Arial"/>
          <w:sz w:val="21"/>
          <w:szCs w:val="21"/>
        </w:rPr>
        <w:t xml:space="preserve">Heavy commercial vehicle GHG standards repealed → UPS, FedEx, J.B. Hunt</w:t>
      </w:r>
    </w:p>
    <w:p>
      <w:r>
        <w:br w:type="page"/>
      </w:r>
    </w:p>
    <w:p>
      <w:pPr>
        <w:pStyle w:val="Heading1"/>
        <w:spacing w:before="360" w:after="200"/>
      </w:pPr>
      <w:r>
        <w:t xml:space="preserve">3. Direct Impact Sectors (Weakened Regulatory Protection → Losses)</w:t>
      </w:r>
    </w:p>
    <w:p>
      <w:pPr>
        <w:pStyle w:val="Heading2"/>
        <w:spacing w:before="280" w:after="160"/>
      </w:pPr>
      <w:r>
        <w:t xml:space="preserve">3.1 Renewable Energy (Solar, Wind, Energy Storage)</w:t>
      </w:r>
    </w:p>
    <w:p>
      <w:pPr>
        <w:spacing w:before="120" w:after="120"/>
      </w:pPr>
      <w:r>
        <w:rPr>
          <w:rFonts w:ascii="Arial" w:cs="Arial" w:eastAsia="Arial" w:hAnsi="Arial"/>
          <w:b/>
          <w:bCs/>
          <w:color w:val="CC0000"/>
          <w:sz w:val="22"/>
          <w:szCs w:val="22"/>
        </w:rPr>
        <w:t xml:space="preserve">DOUBLE HIT Structure: </w:t>
      </w:r>
      <w:r>
        <w:rPr>
          <w:rFonts w:ascii="Arial" w:cs="Arial" w:eastAsia="Arial" w:hAnsi="Arial"/>
          <w:sz w:val="22"/>
          <w:szCs w:val="22"/>
        </w:rPr>
        <w:t xml:space="preserve">Endangerment Finding repeal (legal foundation) + IRA tax credit accelerated phase-out (financial incentive) — simultaneous weakening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1240"/>
      </w:tblGrid>
      <w:tr>
        <w:trPr>
          <w:tblHeader/>
        </w:trPr>
        <w:tc>
          <w:tcPr>
            <w:tcW w:type="dxa" w:w="30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ETF</w:t>
            </w:r>
          </w:p>
        </w:tc>
        <w:tc>
          <w:tcPr>
            <w:tcW w:type="dxa" w:w="26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Focus</w:t>
            </w:r>
          </w:p>
        </w:tc>
        <w:tc>
          <w:tcPr>
            <w:tcW w:type="dxa" w:w="20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2025 Performance</w:t>
            </w:r>
          </w:p>
        </w:tc>
        <w:tc>
          <w:tcPr>
            <w:tcW w:type="dxa" w:w="12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Expense</w:t>
            </w:r>
          </w:p>
        </w:tc>
      </w:tr>
      <w:tr>
        <w:tc>
          <w:tcPr>
            <w:tcW w:type="dxa" w:w="3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ICLN (iShares Global Clean Energy)</w:t>
            </w:r>
          </w:p>
        </w:tc>
        <w:tc>
          <w:tcPr>
            <w:tcW w:type="dxa" w:w="26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Solar/Wind/Hydro Global</w:t>
            </w:r>
          </w:p>
        </w:tc>
        <w:tc>
          <w:tcPr>
            <w:tcW w:type="dxa" w:w="2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+47%</w:t>
            </w:r>
          </w:p>
        </w:tc>
        <w:tc>
          <w:tcPr>
            <w:tcW w:type="dxa" w:w="12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0.42%</w:t>
            </w:r>
          </w:p>
        </w:tc>
      </w:tr>
      <w:tr>
        <w:tc>
          <w:tcPr>
            <w:tcW w:type="dxa" w:w="3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TAN (Invesco Solar ETF)</w:t>
            </w:r>
          </w:p>
        </w:tc>
        <w:tc>
          <w:tcPr>
            <w:tcW w:type="dxa" w:w="26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Solar Only</w:t>
            </w:r>
          </w:p>
        </w:tc>
        <w:tc>
          <w:tcPr>
            <w:tcW w:type="dxa" w:w="2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High Volatility</w:t>
            </w:r>
          </w:p>
        </w:tc>
        <w:tc>
          <w:tcPr>
            <w:tcW w:type="dxa" w:w="12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w:t>
            </w:r>
          </w:p>
        </w:tc>
      </w:tr>
      <w:tr>
        <w:tc>
          <w:tcPr>
            <w:tcW w:type="dxa" w:w="3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QCLN (First Trust NASDAQ Clean Edge)</w:t>
            </w:r>
          </w:p>
        </w:tc>
        <w:tc>
          <w:tcPr>
            <w:tcW w:type="dxa" w:w="26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Tech-focused Clean Energy</w:t>
            </w:r>
          </w:p>
        </w:tc>
        <w:tc>
          <w:tcPr>
            <w:tcW w:type="dxa" w:w="2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+24.1% YTD</w:t>
            </w:r>
          </w:p>
        </w:tc>
        <w:tc>
          <w:tcPr>
            <w:tcW w:type="dxa" w:w="12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w:t>
            </w:r>
          </w:p>
        </w:tc>
      </w:tr>
    </w:tbl>
    <w:p>
      <w:pPr>
        <w:pStyle w:val="Heading3"/>
        <w:spacing w:before="200" w:after="120"/>
      </w:pPr>
      <w:r>
        <w:t xml:space="preserve">IRA Tax Credit Accelerated Phase-out (OBBBA Act, signed 2025.7)</w:t>
      </w:r>
    </w:p>
    <w:p>
      <w:pPr>
        <w:pStyle w:val="ListParagraph"/>
        <w:numPr>
          <w:ilvl w:val="0"/>
          <w:numId w:val="2"/>
        </w:numPr>
        <w:spacing w:before="60" w:after="60"/>
      </w:pPr>
      <w:r>
        <w:rPr>
          <w:rFonts w:ascii="Arial" w:cs="Arial" w:eastAsia="Arial" w:hAnsi="Arial"/>
          <w:sz w:val="21"/>
          <w:szCs w:val="21"/>
        </w:rPr>
        <w:t xml:space="preserve">EV tax credits (Sec 30D, 25E, 45W): terminated 2025.9.30</w:t>
      </w:r>
    </w:p>
    <w:p>
      <w:pPr>
        <w:pStyle w:val="ListParagraph"/>
        <w:numPr>
          <w:ilvl w:val="0"/>
          <w:numId w:val="2"/>
        </w:numPr>
        <w:spacing w:before="60" w:after="60"/>
      </w:pPr>
      <w:r>
        <w:rPr>
          <w:rFonts w:ascii="Arial" w:cs="Arial" w:eastAsia="Arial" w:hAnsi="Arial"/>
          <w:sz w:val="21"/>
          <w:szCs w:val="21"/>
        </w:rPr>
        <w:t xml:space="preserve">Residential clean energy credits (Sec 25C, 25D): terminated 2025.12.31</w:t>
      </w:r>
    </w:p>
    <w:p>
      <w:pPr>
        <w:pStyle w:val="ListParagraph"/>
        <w:numPr>
          <w:ilvl w:val="0"/>
          <w:numId w:val="2"/>
        </w:numPr>
        <w:spacing w:before="60" w:after="60"/>
      </w:pPr>
      <w:r>
        <w:rPr>
          <w:rFonts w:ascii="Arial" w:cs="Arial" w:eastAsia="Arial" w:hAnsi="Arial"/>
          <w:sz w:val="21"/>
          <w:szCs w:val="21"/>
        </w:rPr>
        <w:t xml:space="preserve">Wind/Solar facilities (Sec 45Y): excluded if construction begins after 2026.7.4</w:t>
      </w:r>
    </w:p>
    <w:p>
      <w:pPr>
        <w:spacing w:before="120" w:after="120"/>
        <w:ind w:left="360" w:right="360"/>
      </w:pPr>
      <w:r>
        <w:rPr>
          <w:rFonts w:ascii="Arial" w:cs="Arial" w:eastAsia="Arial" w:hAnsi="Arial"/>
          <w:i/>
          <w:iCs/>
          <w:color w:val="8B4513"/>
          <w:sz w:val="20"/>
          <w:szCs w:val="20"/>
        </w:rPr>
        <w:t xml:space="preserve">Fund outflows: Invesco Global Clean Energy ETF -$43M, iShares fund -$67M post-Trump reelection</w:t>
      </w:r>
    </w:p>
    <w:p>
      <w:pPr>
        <w:pStyle w:val="Heading2"/>
        <w:spacing w:before="280" w:after="160"/>
      </w:pPr>
      <w:r>
        <w:t xml:space="preserve">3.2 EV Value Chain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Ticker / ETF</w:t>
            </w:r>
          </w:p>
        </w:tc>
        <w:tc>
          <w:tcPr>
            <w:tcW w:type="dxa" w:w="66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Key Impact</w:t>
            </w:r>
          </w:p>
        </w:tc>
      </w:tr>
      <w:tr>
        <w:tc>
          <w:tcPr>
            <w:tcW w:type="dxa" w:w="3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Tesla (TSLA)</w:t>
            </w:r>
          </w:p>
        </w:tc>
        <w:tc>
          <w:tcPr>
            <w:tcW w:type="dxa" w:w="6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Annual $2.8B emissions credit revenue at risk</w:t>
            </w:r>
          </w:p>
        </w:tc>
      </w:tr>
      <w:tr>
        <w:tc>
          <w:tcPr>
            <w:tcW w:type="dxa" w:w="3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Rivian (RIVN)</w:t>
            </w:r>
          </w:p>
        </w:tc>
        <w:tc>
          <w:tcPr>
            <w:tcW w:type="dxa" w:w="66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Pure EV competitiveness weakened without regulatory incentives</w:t>
            </w:r>
          </w:p>
        </w:tc>
      </w:tr>
      <w:tr>
        <w:tc>
          <w:tcPr>
            <w:tcW w:type="dxa" w:w="3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LIT (Global X Lithium &amp; Battery Tech)</w:t>
            </w:r>
          </w:p>
        </w:tc>
        <w:tc>
          <w:tcPr>
            <w:tcW w:type="dxa" w:w="6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Entire battery value chain affected</w:t>
            </w:r>
          </w:p>
        </w:tc>
      </w:tr>
      <w:tr>
        <w:tc>
          <w:tcPr>
            <w:tcW w:type="dxa" w:w="3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DRIV (Global X Autonomous &amp; EV)</w:t>
            </w:r>
          </w:p>
        </w:tc>
        <w:tc>
          <w:tcPr>
            <w:tcW w:type="dxa" w:w="66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EV/Autonomous driving theme</w:t>
            </w:r>
          </w:p>
        </w:tc>
      </w:tr>
    </w:tbl>
    <w:p>
      <w:pPr>
        <w:pStyle w:val="Heading2"/>
        <w:spacing w:before="280" w:after="160"/>
      </w:pPr>
      <w:r>
        <w:t xml:space="preserve">3.3 Carbon Credits / Carbon Allowance Markets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rPr>
          <w:tblHeader/>
        </w:trPr>
        <w:tc>
          <w:tcPr>
            <w:tcW w:type="dxa" w:w="40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Metric</w:t>
            </w:r>
          </w:p>
        </w:tc>
        <w:tc>
          <w:tcPr>
            <w:tcW w:type="dxa" w:w="58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Value</w:t>
            </w:r>
          </w:p>
        </w:tc>
      </w:tr>
      <w:tr>
        <w:tc>
          <w:tcPr>
            <w:tcW w:type="dxa" w:w="4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US Carbon Allowance Market</w:t>
            </w:r>
          </w:p>
        </w:tc>
        <w:tc>
          <w:tcPr>
            <w:tcW w:type="dxa" w:w="58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$7.7B (2025, 34.7% of global)</w:t>
            </w:r>
          </w:p>
        </w:tc>
      </w:tr>
      <w:tr>
        <w:tc>
          <w:tcPr>
            <w:tcW w:type="dxa" w:w="4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Global Carbon Credit Market</w:t>
            </w:r>
          </w:p>
        </w:tc>
        <w:tc>
          <w:tcPr>
            <w:tcW w:type="dxa" w:w="58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$114.3B (2025) → $127.3B (2026E)</w:t>
            </w:r>
          </w:p>
        </w:tc>
      </w:tr>
      <w:tr>
        <w:tc>
          <w:tcPr>
            <w:tcW w:type="dxa" w:w="4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Compliance Carbon Market Trading Volume</w:t>
            </w:r>
          </w:p>
        </w:tc>
        <w:tc>
          <w:tcPr>
            <w:tcW w:type="dxa" w:w="58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$800B (2024)</w:t>
            </w:r>
          </w:p>
        </w:tc>
      </w:tr>
    </w:tbl>
    <w:p>
      <w:pPr>
        <w:spacing w:before="120" w:after="60"/>
      </w:pPr>
      <w:r>
        <w:rPr>
          <w:rFonts w:ascii="Arial" w:cs="Arial" w:eastAsia="Arial" w:hAnsi="Arial"/>
          <w:b/>
          <w:bCs/>
          <w:color w:val="333333"/>
          <w:sz w:val="22"/>
          <w:szCs w:val="22"/>
        </w:rPr>
        <w:t xml:space="preserve">Key ETF: KRBN (KraneShares Global Carbon Strategy) — ~35% US carbon market exposure</w:t>
      </w:r>
    </w:p>
    <w:p>
      <w:pPr>
        <w:spacing w:before="120" w:after="120"/>
        <w:ind w:left="360" w:right="360"/>
      </w:pPr>
      <w:r>
        <w:rPr>
          <w:rFonts w:ascii="Arial" w:cs="Arial" w:eastAsia="Arial" w:hAnsi="Arial"/>
          <w:i/>
          <w:iCs/>
          <w:color w:val="8B4513"/>
          <w:sz w:val="20"/>
          <w:szCs w:val="20"/>
        </w:rPr>
        <w:t xml:space="preserve">Caveat: California Cap-and-Trade extended to 2045; RGGI operates independently as state programs → limited direct federal repeal impact</w:t>
      </w:r>
    </w:p>
    <w:p>
      <w:pPr>
        <w:pStyle w:val="Heading2"/>
        <w:spacing w:before="280" w:after="160"/>
      </w:pPr>
      <w:r>
        <w:t xml:space="preserve">3.4 ESG Funds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rPr>
          <w:tblHeader/>
        </w:trPr>
        <w:tc>
          <w:tcPr>
            <w:tcW w:type="dxa" w:w="40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Metric</w:t>
            </w:r>
          </w:p>
        </w:tc>
        <w:tc>
          <w:tcPr>
            <w:tcW w:type="dxa" w:w="58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Value</w:t>
            </w:r>
          </w:p>
        </w:tc>
      </w:tr>
      <w:tr>
        <w:tc>
          <w:tcPr>
            <w:tcW w:type="dxa" w:w="4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Global ESG Fund AUM</w:t>
            </w:r>
          </w:p>
        </w:tc>
        <w:tc>
          <w:tcPr>
            <w:tcW w:type="dxa" w:w="58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$3.92T (2025.6)</w:t>
            </w:r>
          </w:p>
        </w:tc>
      </w:tr>
      <w:tr>
        <w:tc>
          <w:tcPr>
            <w:tcW w:type="dxa" w:w="4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Total ESG Investment Market</w:t>
            </w:r>
          </w:p>
        </w:tc>
        <w:tc>
          <w:tcPr>
            <w:tcW w:type="dxa" w:w="58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$45.61T (2026E) → $180.78T (2034E)</w:t>
            </w:r>
          </w:p>
        </w:tc>
      </w:tr>
    </w:tbl>
    <w:p>
      <w:pPr>
        <w:spacing w:before="120" w:after="120"/>
        <w:ind w:left="360" w:right="360"/>
      </w:pPr>
      <w:r>
        <w:rPr>
          <w:rFonts w:ascii="Arial" w:cs="Arial" w:eastAsia="Arial" w:hAnsi="Arial"/>
          <w:i/>
          <w:iCs/>
          <w:color w:val="8B4513"/>
          <w:sz w:val="20"/>
          <w:szCs w:val="20"/>
        </w:rPr>
        <w:t xml:space="preserve">Paradoxical resilience: Despite political headwinds, ESG ETFs show surprising resilience driven by global investor demand (EU/Asia) and corporate ESG integration</w:t>
      </w:r>
    </w:p>
    <w:p>
      <w:r>
        <w:br w:type="page"/>
      </w:r>
    </w:p>
    <w:p>
      <w:pPr>
        <w:pStyle w:val="Heading1"/>
        <w:spacing w:before="360" w:after="200"/>
      </w:pPr>
      <w:r>
        <w:t xml:space="preserve">4. Indirect Impact Sectors</w:t>
      </w:r>
    </w:p>
    <w:p>
      <w:pPr>
        <w:pStyle w:val="Heading2"/>
        <w:spacing w:before="280" w:after="160"/>
      </w:pPr>
      <w:r>
        <w:t xml:space="preserve">4.1 Insurance / Reinsurance — Climate Risk Amplification</w:t>
      </w:r>
    </w:p>
    <w:p>
      <w:pPr>
        <w:pStyle w:val="ListParagraph"/>
        <w:numPr>
          <w:ilvl w:val="0"/>
          <w:numId w:val="2"/>
        </w:numPr>
        <w:spacing w:before="60" w:after="60"/>
      </w:pPr>
      <w:r>
        <w:rPr>
          <w:rFonts w:ascii="Arial" w:cs="Arial" w:eastAsia="Arial" w:hAnsi="Arial"/>
          <w:sz w:val="21"/>
          <w:szCs w:val="21"/>
        </w:rPr>
        <w:t xml:space="preserve">2025 California wildfire insurance losses: ~$40B</w:t>
      </w:r>
    </w:p>
    <w:p>
      <w:pPr>
        <w:pStyle w:val="ListParagraph"/>
        <w:numPr>
          <w:ilvl w:val="0"/>
          <w:numId w:val="2"/>
        </w:numPr>
        <w:spacing w:before="60" w:after="60"/>
      </w:pPr>
      <w:r>
        <w:rPr>
          <w:rFonts w:ascii="Arial" w:cs="Arial" w:eastAsia="Arial" w:hAnsi="Arial"/>
          <w:sz w:val="21"/>
          <w:szCs w:val="21"/>
        </w:rPr>
        <w:t xml:space="preserve">2025 severe thunderstorm losses: $50B</w:t>
      </w:r>
    </w:p>
    <w:p>
      <w:pPr>
        <w:pStyle w:val="ListParagraph"/>
        <w:numPr>
          <w:ilvl w:val="0"/>
          <w:numId w:val="2"/>
        </w:numPr>
        <w:spacing w:before="60" w:after="60"/>
      </w:pPr>
      <w:r>
        <w:rPr>
          <w:rFonts w:ascii="Arial" w:cs="Arial" w:eastAsia="Arial" w:hAnsi="Arial"/>
          <w:sz w:val="21"/>
          <w:szCs w:val="21"/>
        </w:rPr>
        <w:t xml:space="preserve">Global natural disaster insured losses: $100B+/year (ongoing)</w:t>
      </w:r>
    </w:p>
    <w:p>
      <w:pPr>
        <w:pStyle w:val="ListParagraph"/>
        <w:numPr>
          <w:ilvl w:val="0"/>
          <w:numId w:val="2"/>
        </w:numPr>
        <w:spacing w:before="60" w:after="60"/>
      </w:pPr>
      <w:r>
        <w:rPr>
          <w:rFonts w:ascii="Arial" w:cs="Arial" w:eastAsia="Arial" w:hAnsi="Arial"/>
          <w:sz w:val="21"/>
          <w:szCs w:val="21"/>
        </w:rPr>
        <w:t xml:space="preserve">Deregulation → long-term emission increase → climate loss expansion → premium hike acceleration</w:t>
      </w:r>
    </w:p>
    <w:p>
      <w:pPr>
        <w:spacing w:before="120" w:after="120"/>
        <w:ind w:left="360" w:right="360"/>
      </w:pPr>
      <w:r>
        <w:rPr>
          <w:rFonts w:ascii="Arial" w:cs="Arial" w:eastAsia="Arial" w:hAnsi="Arial"/>
          <w:i/>
          <w:iCs/>
          <w:color w:val="8B4513"/>
          <w:sz w:val="20"/>
          <w:szCs w:val="20"/>
        </w:rPr>
        <w:t xml:space="preserve">Yale Law Journal: "The Uninsurable Future"</w:t>
      </w:r>
    </w:p>
    <w:p>
      <w:pPr>
        <w:pStyle w:val="Heading2"/>
        <w:spacing w:before="280" w:after="160"/>
      </w:pPr>
      <w:r>
        <w:t xml:space="preserve">4.2 Nuclear Energy — Rising as Decarbonization Alternative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640"/>
      </w:tblGrid>
      <w:tr>
        <w:trPr>
          <w:tblHeader/>
        </w:trPr>
        <w:tc>
          <w:tcPr>
            <w:tcW w:type="dxa" w:w="26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Ticker</w:t>
            </w:r>
          </w:p>
        </w:tc>
        <w:tc>
          <w:tcPr>
            <w:tcW w:type="dxa" w:w="18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Current Price</w:t>
            </w:r>
          </w:p>
        </w:tc>
        <w:tc>
          <w:tcPr>
            <w:tcW w:type="dxa" w:w="18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12M Target</w:t>
            </w:r>
          </w:p>
        </w:tc>
        <w:tc>
          <w:tcPr>
            <w:tcW w:type="dxa" w:w="36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Note</w:t>
            </w:r>
          </w:p>
        </w:tc>
      </w:tr>
      <w:tr>
        <w:tc>
          <w:tcPr>
            <w:tcW w:type="dxa" w:w="26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Constellation Energy (CEG)</w:t>
            </w:r>
          </w:p>
        </w:tc>
        <w:tc>
          <w:tcPr>
            <w:tcW w:type="dxa" w:w="1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$307.71</w:t>
            </w:r>
          </w:p>
        </w:tc>
        <w:tc>
          <w:tcPr>
            <w:tcW w:type="dxa" w:w="1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$412.82</w:t>
            </w:r>
          </w:p>
        </w:tc>
        <w:tc>
          <w:tcPr>
            <w:tcW w:type="dxa" w:w="3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Largest US nuclear operator</w:t>
            </w:r>
          </w:p>
        </w:tc>
      </w:tr>
      <w:tr>
        <w:tc>
          <w:tcPr>
            <w:tcW w:type="dxa" w:w="26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NuScale Power (SMR)</w:t>
            </w:r>
          </w:p>
        </w:tc>
        <w:tc>
          <w:tcPr>
            <w:tcW w:type="dxa" w:w="18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$20.19</w:t>
            </w:r>
          </w:p>
        </w:tc>
        <w:tc>
          <w:tcPr>
            <w:tcW w:type="dxa" w:w="18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$32.77</w:t>
            </w:r>
          </w:p>
        </w:tc>
        <w:tc>
          <w:tcPr>
            <w:tcW w:type="dxa" w:w="36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First NRC-approved SMR design</w:t>
            </w:r>
          </w:p>
        </w:tc>
      </w:tr>
      <w:tr>
        <w:tc>
          <w:tcPr>
            <w:tcW w:type="dxa" w:w="26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Oklo (OKLO)</w:t>
            </w:r>
          </w:p>
        </w:tc>
        <w:tc>
          <w:tcPr>
            <w:tcW w:type="dxa" w:w="1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$94.95</w:t>
            </w:r>
          </w:p>
        </w:tc>
        <w:tc>
          <w:tcPr>
            <w:tcW w:type="dxa" w:w="18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$125.11</w:t>
            </w:r>
          </w:p>
        </w:tc>
        <w:tc>
          <w:tcPr>
            <w:tcW w:type="dxa" w:w="36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Sam Altman-backed, Meta partnership</w:t>
            </w:r>
          </w:p>
        </w:tc>
      </w:tr>
      <w:tr>
        <w:tc>
          <w:tcPr>
            <w:tcW w:type="dxa" w:w="26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URNM ETF</w:t>
            </w:r>
          </w:p>
        </w:tc>
        <w:tc>
          <w:tcPr>
            <w:tcW w:type="dxa" w:w="18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w:t>
            </w:r>
          </w:p>
        </w:tc>
        <w:tc>
          <w:tcPr>
            <w:tcW w:type="dxa" w:w="18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w:t>
            </w:r>
          </w:p>
        </w:tc>
        <w:tc>
          <w:tcPr>
            <w:tcW w:type="dxa" w:w="36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Uranium miners 80%+</w:t>
            </w:r>
          </w:p>
        </w:tc>
      </w:tr>
    </w:tbl>
    <w:p>
      <w:pPr>
        <w:spacing w:before="120" w:after="60"/>
      </w:pPr>
      <w:r>
        <w:rPr>
          <w:rFonts w:ascii="Arial" w:cs="Arial" w:eastAsia="Arial" w:hAnsi="Arial"/>
          <w:color w:val="333333"/>
          <w:sz w:val="22"/>
          <w:szCs w:val="22"/>
        </w:rPr>
        <w:t xml:space="preserve">Trump administration target: 10+ new large reactors by 2030, 4x nuclear capacity expansion</w:t>
      </w:r>
    </w:p>
    <w:p>
      <w:pPr>
        <w:spacing w:before="120" w:after="120"/>
        <w:ind w:left="360" w:right="360"/>
      </w:pPr>
      <w:r>
        <w:rPr>
          <w:rFonts w:ascii="Arial" w:cs="Arial" w:eastAsia="Arial" w:hAnsi="Arial"/>
          <w:i/>
          <w:iCs/>
          <w:color w:val="8B4513"/>
          <w:sz w:val="20"/>
          <w:szCs w:val="20"/>
        </w:rPr>
        <w:t xml:space="preserve">Caution: NuScale &amp; Oklo have no operational plant experience. NuScale FCF: -$283M, Oklo FCF: -$68M</w:t>
      </w:r>
    </w:p>
    <w:p>
      <w:pPr>
        <w:pStyle w:val="Heading2"/>
        <w:spacing w:before="280" w:after="160"/>
      </w:pPr>
      <w:r>
        <w:t xml:space="preserve">4.3 Agriculture — Mixed Impact</w:t>
      </w:r>
    </w:p>
    <w:p>
      <w:pPr>
        <w:pStyle w:val="ListParagraph"/>
        <w:numPr>
          <w:ilvl w:val="0"/>
          <w:numId w:val="2"/>
        </w:numPr>
        <w:spacing w:before="60" w:after="60"/>
      </w:pPr>
      <w:r>
        <w:rPr>
          <w:rFonts w:ascii="Arial" w:cs="Arial" w:eastAsia="Arial" w:hAnsi="Arial"/>
          <w:sz w:val="21"/>
          <w:szCs w:val="21"/>
        </w:rPr>
        <w:t xml:space="preserve">Agriculture = 10.5% of US GHG emissions</w:t>
      </w:r>
    </w:p>
    <w:p>
      <w:pPr>
        <w:pStyle w:val="ListParagraph"/>
        <w:numPr>
          <w:ilvl w:val="0"/>
          <w:numId w:val="2"/>
        </w:numPr>
        <w:spacing w:before="60" w:after="60"/>
      </w:pPr>
      <w:r>
        <w:rPr>
          <w:rFonts w:ascii="Arial" w:cs="Arial" w:eastAsia="Arial" w:hAnsi="Arial"/>
          <w:sz w:val="21"/>
          <w:szCs w:val="21"/>
        </w:rPr>
        <w:t xml:space="preserve">USDA terminated $148.6M in environmental conservation grants</w:t>
      </w:r>
    </w:p>
    <w:p>
      <w:pPr>
        <w:pStyle w:val="ListParagraph"/>
        <w:numPr>
          <w:ilvl w:val="0"/>
          <w:numId w:val="2"/>
        </w:numPr>
        <w:spacing w:before="60" w:after="60"/>
      </w:pPr>
      <w:r>
        <w:rPr>
          <w:rFonts w:ascii="Arial" w:cs="Arial" w:eastAsia="Arial" w:hAnsi="Arial"/>
          <w:sz w:val="21"/>
          <w:szCs w:val="21"/>
        </w:rPr>
        <w:t xml:space="preserve">Carbon farming incentives weakened vs. methane regulation burden reduced</w:t>
      </w:r>
    </w:p>
    <w:p>
      <w:pPr>
        <w:pStyle w:val="ListParagraph"/>
        <w:numPr>
          <w:ilvl w:val="0"/>
          <w:numId w:val="2"/>
        </w:numPr>
        <w:spacing w:before="60" w:after="60"/>
      </w:pPr>
      <w:r>
        <w:rPr>
          <w:rFonts w:ascii="Arial" w:cs="Arial" w:eastAsia="Arial" w:hAnsi="Arial"/>
          <w:sz w:val="21"/>
          <w:szCs w:val="21"/>
        </w:rPr>
        <w:t xml:space="preserve">EU moving opposite direction: carbon farming certification framework launching 2026</w:t>
      </w:r>
    </w:p>
    <w:p>
      <w:r>
        <w:br w:type="page"/>
      </w:r>
    </w:p>
    <w:p>
      <w:pPr>
        <w:pStyle w:val="Heading1"/>
        <w:spacing w:before="360" w:after="200"/>
      </w:pPr>
      <w:r>
        <w:t xml:space="preserve">5. Critical Investment Variable: Legal Challenges</w:t>
      </w:r>
    </w:p>
    <w:p>
      <w:pPr>
        <w:pStyle w:val="Heading2"/>
        <w:spacing w:before="280" w:after="160"/>
      </w:pPr>
      <w:r>
        <w:t xml:space="preserve">5.1 Confirmed Litigation Parties</w:t>
      </w:r>
    </w:p>
    <w:p>
      <w:pPr>
        <w:pStyle w:val="ListParagraph"/>
        <w:numPr>
          <w:ilvl w:val="0"/>
          <w:numId w:val="2"/>
        </w:numPr>
        <w:spacing w:before="60" w:after="60"/>
      </w:pPr>
      <w:r>
        <w:rPr>
          <w:rFonts w:ascii="Arial" w:cs="Arial" w:eastAsia="Arial" w:hAnsi="Arial"/>
          <w:sz w:val="21"/>
          <w:szCs w:val="21"/>
        </w:rPr>
        <w:t xml:space="preserve">California (Governor Newsom + AG Rob Bonta)</w:t>
      </w:r>
    </w:p>
    <w:p>
      <w:pPr>
        <w:pStyle w:val="ListParagraph"/>
        <w:numPr>
          <w:ilvl w:val="0"/>
          <w:numId w:val="2"/>
        </w:numPr>
        <w:spacing w:before="60" w:after="60"/>
      </w:pPr>
      <w:r>
        <w:rPr>
          <w:rFonts w:ascii="Arial" w:cs="Arial" w:eastAsia="Arial" w:hAnsi="Arial"/>
          <w:sz w:val="21"/>
          <w:szCs w:val="21"/>
        </w:rPr>
        <w:t xml:space="preserve">Massachusetts Attorney General</w:t>
      </w:r>
    </w:p>
    <w:p>
      <w:pPr>
        <w:pStyle w:val="ListParagraph"/>
        <w:numPr>
          <w:ilvl w:val="0"/>
          <w:numId w:val="2"/>
        </w:numPr>
        <w:spacing w:before="60" w:after="60"/>
      </w:pPr>
      <w:r>
        <w:rPr>
          <w:rFonts w:ascii="Arial" w:cs="Arial" w:eastAsia="Arial" w:hAnsi="Arial"/>
          <w:sz w:val="21"/>
          <w:szCs w:val="21"/>
        </w:rPr>
        <w:t xml:space="preserve">American Lung Association / American Public Health Association</w:t>
      </w:r>
    </w:p>
    <w:p>
      <w:pPr>
        <w:pStyle w:val="ListParagraph"/>
        <w:numPr>
          <w:ilvl w:val="0"/>
          <w:numId w:val="2"/>
        </w:numPr>
        <w:spacing w:before="60" w:after="60"/>
      </w:pPr>
      <w:r>
        <w:rPr>
          <w:rFonts w:ascii="Arial" w:cs="Arial" w:eastAsia="Arial" w:hAnsi="Arial"/>
          <w:sz w:val="21"/>
          <w:szCs w:val="21"/>
        </w:rPr>
        <w:t xml:space="preserve">Natural Resources Defense Council (NRDC)</w:t>
      </w:r>
    </w:p>
    <w:p>
      <w:pPr>
        <w:pStyle w:val="ListParagraph"/>
        <w:numPr>
          <w:ilvl w:val="0"/>
          <w:numId w:val="2"/>
        </w:numPr>
        <w:spacing w:before="60" w:after="60"/>
      </w:pPr>
      <w:r>
        <w:rPr>
          <w:rFonts w:ascii="Arial" w:cs="Arial" w:eastAsia="Arial" w:hAnsi="Arial"/>
          <w:sz w:val="21"/>
          <w:szCs w:val="21"/>
        </w:rPr>
        <w:t xml:space="preserve">Earthjustice</w:t>
      </w:r>
    </w:p>
    <w:p>
      <w:pPr>
        <w:pStyle w:val="Heading2"/>
        <w:spacing w:before="280" w:after="160"/>
      </w:pPr>
      <w:r>
        <w:t xml:space="preserve">5.2 Strength of Legal Precedent</w:t>
      </w:r>
    </w:p>
    <w:p>
      <w:pPr>
        <w:pStyle w:val="ListParagraph"/>
        <w:numPr>
          <w:ilvl w:val="0"/>
          <w:numId w:val="2"/>
        </w:numPr>
        <w:spacing w:before="60" w:after="60"/>
      </w:pPr>
      <w:r>
        <w:rPr>
          <w:rFonts w:ascii="Arial" w:cs="Arial" w:eastAsia="Arial" w:hAnsi="Arial"/>
          <w:sz w:val="21"/>
          <w:szCs w:val="21"/>
        </w:rPr>
        <w:t xml:space="preserve">Through 2023, courts uniformly rejected ALL legal challenges to the Endangerment Finding</w:t>
      </w:r>
    </w:p>
    <w:p>
      <w:pPr>
        <w:pStyle w:val="ListParagraph"/>
        <w:numPr>
          <w:ilvl w:val="0"/>
          <w:numId w:val="2"/>
        </w:numPr>
        <w:spacing w:before="60" w:after="60"/>
      </w:pPr>
      <w:r>
        <w:rPr>
          <w:rFonts w:ascii="Arial" w:cs="Arial" w:eastAsia="Arial" w:hAnsi="Arial"/>
          <w:sz w:val="21"/>
          <w:szCs w:val="21"/>
        </w:rPr>
        <w:t xml:space="preserve">Supreme Court declined to hear challenges as recently as late 2023</w:t>
      </w:r>
    </w:p>
    <w:p>
      <w:pPr>
        <w:pStyle w:val="ListParagraph"/>
        <w:numPr>
          <w:ilvl w:val="0"/>
          <w:numId w:val="2"/>
        </w:numPr>
        <w:spacing w:before="60" w:after="60"/>
      </w:pPr>
      <w:r>
        <w:rPr>
          <w:rFonts w:ascii="Arial" w:cs="Arial" w:eastAsia="Arial" w:hAnsi="Arial"/>
          <w:sz w:val="21"/>
          <w:szCs w:val="21"/>
        </w:rPr>
        <w:t xml:space="preserve">Expected timeline: Federal Register publication → DC Circuit → Supreme Court (2-4 years)</w:t>
      </w:r>
    </w:p>
    <w:p>
      <w:pPr>
        <w:pStyle w:val="Heading2"/>
        <w:spacing w:before="280" w:after="160"/>
      </w:pPr>
      <w:r>
        <w:t xml:space="preserve">5.3 Paradoxical Litigation Risk</w:t>
      </w:r>
    </w:p>
    <w:p>
      <w:pPr>
        <w:spacing w:before="120" w:after="120"/>
      </w:pPr>
      <w:r>
        <w:rPr>
          <w:rFonts w:ascii="Arial" w:cs="Arial" w:eastAsia="Arial" w:hAnsi="Arial"/>
          <w:b/>
          <w:bCs/>
          <w:color w:val="CC0000"/>
          <w:sz w:val="22"/>
          <w:szCs w:val="22"/>
        </w:rPr>
        <w:t xml:space="preserve">KEY FINDING (Grist): </w:t>
      </w:r>
      <w:r>
        <w:rPr>
          <w:rFonts w:ascii="Arial" w:cs="Arial" w:eastAsia="Arial" w:hAnsi="Arial"/>
          <w:sz w:val="22"/>
          <w:szCs w:val="22"/>
        </w:rPr>
        <w:t xml:space="preserve">EPA voluntarily relinquishing regulatory authority may revive the "public nuisance" lawsuit pathway that the 2011 Supreme Court (AEP v. Connecticut) had blocked based on the existence of federal regulation. In other words, the repeal could EXPAND direct litigation risk against fossil fuel companies.</w:t>
      </w:r>
    </w:p>
    <w:p>
      <w:r>
        <w:br w:type="page"/>
      </w:r>
    </w:p>
    <w:p>
      <w:pPr>
        <w:pStyle w:val="Heading1"/>
        <w:spacing w:before="360" w:after="200"/>
      </w:pPr>
      <w:r>
        <w:t xml:space="preserve">6. Comprehensive Investment Impact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000"/>
        <w:gridCol w:w="2200"/>
        <w:gridCol w:w="2440"/>
      </w:tblGrid>
      <w:tr>
        <w:trPr>
          <w:tblHeader/>
        </w:trPr>
        <w:tc>
          <w:tcPr>
            <w:tcW w:type="dxa" w:w="16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Sector</w:t>
            </w:r>
          </w:p>
        </w:tc>
        <w:tc>
          <w:tcPr>
            <w:tcW w:type="dxa" w:w="12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Short-term</w:t>
            </w:r>
          </w:p>
        </w:tc>
        <w:tc>
          <w:tcPr>
            <w:tcW w:type="dxa" w:w="14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Mid-term</w:t>
            </w:r>
          </w:p>
        </w:tc>
        <w:tc>
          <w:tcPr>
            <w:tcW w:type="dxa" w:w="10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Confidence</w:t>
            </w:r>
          </w:p>
        </w:tc>
        <w:tc>
          <w:tcPr>
            <w:tcW w:type="dxa" w:w="22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Key Variable</w:t>
            </w:r>
          </w:p>
        </w:tc>
        <w:tc>
          <w:tcPr>
            <w:tcW w:type="dxa" w:w="24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Representative</w:t>
            </w:r>
          </w:p>
        </w:tc>
      </w:tr>
      <w:tr>
        <w:tc>
          <w:tcPr>
            <w:tcW w:type="dxa" w:w="16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333333"/>
                <w:sz w:val="20"/>
                <w:szCs w:val="20"/>
              </w:rPr>
              <w:t xml:space="preserve">Oil / Natural Gas</w:t>
            </w:r>
          </w:p>
        </w:tc>
        <w:tc>
          <w:tcPr>
            <w:tcW w:type="dxa" w:w="1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006600"/>
                <w:sz w:val="20"/>
                <w:szCs w:val="20"/>
              </w:rPr>
              <w:t xml:space="preserve">↑ Rising</w:t>
            </w:r>
          </w:p>
        </w:tc>
        <w:tc>
          <w:tcPr>
            <w:tcW w:type="dxa" w:w="14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Flat~Rising</w:t>
            </w:r>
          </w:p>
        </w:tc>
        <w:tc>
          <w:tcPr>
            <w:tcW w:type="dxa" w:w="1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Medium</w:t>
            </w:r>
          </w:p>
        </w:tc>
        <w:tc>
          <w:tcPr>
            <w:tcW w:type="dxa" w:w="2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Oil price, global demand</w:t>
            </w:r>
          </w:p>
        </w:tc>
        <w:tc>
          <w:tcPr>
            <w:tcW w:type="dxa" w:w="24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2C5F8A"/>
                <w:sz w:val="20"/>
                <w:szCs w:val="20"/>
              </w:rPr>
              <w:t xml:space="preserve">XLE, VDE, XOP</w:t>
            </w:r>
          </w:p>
        </w:tc>
      </w:tr>
      <w:tr>
        <w:tc>
          <w:tcPr>
            <w:tcW w:type="dxa" w:w="16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333333"/>
                <w:sz w:val="20"/>
                <w:szCs w:val="20"/>
              </w:rPr>
              <w:t xml:space="preserve">Coal</w:t>
            </w:r>
          </w:p>
        </w:tc>
        <w:tc>
          <w:tcPr>
            <w:tcW w:type="dxa" w:w="1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006600"/>
                <w:sz w:val="20"/>
                <w:szCs w:val="20"/>
              </w:rPr>
              <w:t xml:space="preserve">↑ Limited</w:t>
            </w:r>
          </w:p>
        </w:tc>
        <w:tc>
          <w:tcPr>
            <w:tcW w:type="dxa" w:w="14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 Declining</w:t>
            </w:r>
          </w:p>
        </w:tc>
        <w:tc>
          <w:tcPr>
            <w:tcW w:type="dxa" w:w="1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Low</w:t>
            </w:r>
          </w:p>
        </w:tc>
        <w:tc>
          <w:tcPr>
            <w:tcW w:type="dxa" w:w="2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Economic non-competitiveness</w:t>
            </w:r>
          </w:p>
        </w:tc>
        <w:tc>
          <w:tcPr>
            <w:tcW w:type="dxa" w:w="24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2C5F8A"/>
                <w:sz w:val="20"/>
                <w:szCs w:val="20"/>
              </w:rPr>
              <w:t xml:space="preserve">BTU, CEIX</w:t>
            </w:r>
          </w:p>
        </w:tc>
      </w:tr>
      <w:tr>
        <w:tc>
          <w:tcPr>
            <w:tcW w:type="dxa" w:w="16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333333"/>
                <w:sz w:val="20"/>
                <w:szCs w:val="20"/>
              </w:rPr>
              <w:t xml:space="preserve">Legacy Auto OEM</w:t>
            </w:r>
          </w:p>
        </w:tc>
        <w:tc>
          <w:tcPr>
            <w:tcW w:type="dxa" w:w="1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006600"/>
                <w:sz w:val="20"/>
                <w:szCs w:val="20"/>
              </w:rPr>
              <w:t xml:space="preserve">↑ Rising</w:t>
            </w:r>
          </w:p>
        </w:tc>
        <w:tc>
          <w:tcPr>
            <w:tcW w:type="dxa" w:w="14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Flat</w:t>
            </w:r>
          </w:p>
        </w:tc>
        <w:tc>
          <w:tcPr>
            <w:tcW w:type="dxa" w:w="1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Med-High</w:t>
            </w:r>
          </w:p>
        </w:tc>
        <w:tc>
          <w:tcPr>
            <w:tcW w:type="dxa" w:w="2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Global EV regulations</w:t>
            </w:r>
          </w:p>
        </w:tc>
        <w:tc>
          <w:tcPr>
            <w:tcW w:type="dxa" w:w="24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2C5F8A"/>
                <w:sz w:val="20"/>
                <w:szCs w:val="20"/>
              </w:rPr>
              <w:t xml:space="preserve">GM, F, STLA</w:t>
            </w:r>
          </w:p>
        </w:tc>
      </w:tr>
      <w:tr>
        <w:tc>
          <w:tcPr>
            <w:tcW w:type="dxa" w:w="16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333333"/>
                <w:sz w:val="20"/>
                <w:szCs w:val="20"/>
              </w:rPr>
              <w:t xml:space="preserve">Solar / Wind</w:t>
            </w:r>
          </w:p>
        </w:tc>
        <w:tc>
          <w:tcPr>
            <w:tcW w:type="dxa" w:w="1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CC0000"/>
                <w:sz w:val="20"/>
                <w:szCs w:val="20"/>
              </w:rPr>
              <w:t xml:space="preserve">↓ Falling</w:t>
            </w:r>
          </w:p>
        </w:tc>
        <w:tc>
          <w:tcPr>
            <w:tcW w:type="dxa" w:w="14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Recovery possible</w:t>
            </w:r>
          </w:p>
        </w:tc>
        <w:tc>
          <w:tcPr>
            <w:tcW w:type="dxa" w:w="1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Medium</w:t>
            </w:r>
          </w:p>
        </w:tc>
        <w:tc>
          <w:tcPr>
            <w:tcW w:type="dxa" w:w="2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Legal challenges, IRA</w:t>
            </w:r>
          </w:p>
        </w:tc>
        <w:tc>
          <w:tcPr>
            <w:tcW w:type="dxa" w:w="24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2C5F8A"/>
                <w:sz w:val="20"/>
                <w:szCs w:val="20"/>
              </w:rPr>
              <w:t xml:space="preserve">ICLN, TAN</w:t>
            </w:r>
          </w:p>
        </w:tc>
      </w:tr>
      <w:tr>
        <w:tc>
          <w:tcPr>
            <w:tcW w:type="dxa" w:w="16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333333"/>
                <w:sz w:val="20"/>
                <w:szCs w:val="20"/>
              </w:rPr>
              <w:t xml:space="preserve">EV Value Chain</w:t>
            </w:r>
          </w:p>
        </w:tc>
        <w:tc>
          <w:tcPr>
            <w:tcW w:type="dxa" w:w="1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CC0000"/>
                <w:sz w:val="20"/>
                <w:szCs w:val="20"/>
              </w:rPr>
              <w:t xml:space="preserve">↓ Falling</w:t>
            </w:r>
          </w:p>
        </w:tc>
        <w:tc>
          <w:tcPr>
            <w:tcW w:type="dxa" w:w="14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Structural growth</w:t>
            </w:r>
          </w:p>
        </w:tc>
        <w:tc>
          <w:tcPr>
            <w:tcW w:type="dxa" w:w="1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Medium</w:t>
            </w:r>
          </w:p>
        </w:tc>
        <w:tc>
          <w:tcPr>
            <w:tcW w:type="dxa" w:w="2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Consumer demand</w:t>
            </w:r>
          </w:p>
        </w:tc>
        <w:tc>
          <w:tcPr>
            <w:tcW w:type="dxa" w:w="24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2C5F8A"/>
                <w:sz w:val="20"/>
                <w:szCs w:val="20"/>
              </w:rPr>
              <w:t xml:space="preserve">TSLA, LIT, DRIV</w:t>
            </w:r>
          </w:p>
        </w:tc>
      </w:tr>
      <w:tr>
        <w:tc>
          <w:tcPr>
            <w:tcW w:type="dxa" w:w="16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333333"/>
                <w:sz w:val="20"/>
                <w:szCs w:val="20"/>
              </w:rPr>
              <w:t xml:space="preserve">Carbon Market</w:t>
            </w:r>
          </w:p>
        </w:tc>
        <w:tc>
          <w:tcPr>
            <w:tcW w:type="dxa" w:w="1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CC0000"/>
                <w:sz w:val="20"/>
                <w:szCs w:val="20"/>
              </w:rPr>
              <w:t xml:space="preserve">↓~Flat</w:t>
            </w:r>
          </w:p>
        </w:tc>
        <w:tc>
          <w:tcPr>
            <w:tcW w:type="dxa" w:w="14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Flat</w:t>
            </w:r>
          </w:p>
        </w:tc>
        <w:tc>
          <w:tcPr>
            <w:tcW w:type="dxa" w:w="1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Low</w:t>
            </w:r>
          </w:p>
        </w:tc>
        <w:tc>
          <w:tcPr>
            <w:tcW w:type="dxa" w:w="2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State programs survive</w:t>
            </w:r>
          </w:p>
        </w:tc>
        <w:tc>
          <w:tcPr>
            <w:tcW w:type="dxa" w:w="24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2C5F8A"/>
                <w:sz w:val="20"/>
                <w:szCs w:val="20"/>
              </w:rPr>
              <w:t xml:space="preserve">KRBN</w:t>
            </w:r>
          </w:p>
        </w:tc>
      </w:tr>
      <w:tr>
        <w:tc>
          <w:tcPr>
            <w:tcW w:type="dxa" w:w="16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333333"/>
                <w:sz w:val="20"/>
                <w:szCs w:val="20"/>
              </w:rPr>
              <w:t xml:space="preserve">ESG</w:t>
            </w:r>
          </w:p>
        </w:tc>
        <w:tc>
          <w:tcPr>
            <w:tcW w:type="dxa" w:w="1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666666"/>
                <w:sz w:val="20"/>
                <w:szCs w:val="20"/>
              </w:rPr>
              <w:t xml:space="preserve">→ Flat</w:t>
            </w:r>
          </w:p>
        </w:tc>
        <w:tc>
          <w:tcPr>
            <w:tcW w:type="dxa" w:w="14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Rising</w:t>
            </w:r>
          </w:p>
        </w:tc>
        <w:tc>
          <w:tcPr>
            <w:tcW w:type="dxa" w:w="1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Medium</w:t>
            </w:r>
          </w:p>
        </w:tc>
        <w:tc>
          <w:tcPr>
            <w:tcW w:type="dxa" w:w="2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Global fund flows</w:t>
            </w:r>
          </w:p>
        </w:tc>
        <w:tc>
          <w:tcPr>
            <w:tcW w:type="dxa" w:w="24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2C5F8A"/>
                <w:sz w:val="20"/>
                <w:szCs w:val="20"/>
              </w:rPr>
              <w:t xml:space="preserve">ESGU, SUSA</w:t>
            </w:r>
          </w:p>
        </w:tc>
      </w:tr>
      <w:tr>
        <w:tc>
          <w:tcPr>
            <w:tcW w:type="dxa" w:w="16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333333"/>
                <w:sz w:val="20"/>
                <w:szCs w:val="20"/>
              </w:rPr>
              <w:t xml:space="preserve">Nuclear</w:t>
            </w:r>
          </w:p>
        </w:tc>
        <w:tc>
          <w:tcPr>
            <w:tcW w:type="dxa" w:w="1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006600"/>
                <w:sz w:val="20"/>
                <w:szCs w:val="20"/>
              </w:rPr>
              <w:t xml:space="preserve">↑ Rising</w:t>
            </w:r>
          </w:p>
        </w:tc>
        <w:tc>
          <w:tcPr>
            <w:tcW w:type="dxa" w:w="14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Rising</w:t>
            </w:r>
          </w:p>
        </w:tc>
        <w:tc>
          <w:tcPr>
            <w:tcW w:type="dxa" w:w="1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Med-High</w:t>
            </w:r>
          </w:p>
        </w:tc>
        <w:tc>
          <w:tcPr>
            <w:tcW w:type="dxa" w:w="2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AI demand, regulatory</w:t>
            </w:r>
          </w:p>
        </w:tc>
        <w:tc>
          <w:tcPr>
            <w:tcW w:type="dxa" w:w="24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2C5F8A"/>
                <w:sz w:val="20"/>
                <w:szCs w:val="20"/>
              </w:rPr>
              <w:t xml:space="preserve">CEG, SMR, OKLO</w:t>
            </w:r>
          </w:p>
        </w:tc>
      </w:tr>
      <w:tr>
        <w:tc>
          <w:tcPr>
            <w:tcW w:type="dxa" w:w="16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333333"/>
                <w:sz w:val="20"/>
                <w:szCs w:val="20"/>
              </w:rPr>
              <w:t xml:space="preserve">Insurance/Reinsurance</w:t>
            </w:r>
          </w:p>
        </w:tc>
        <w:tc>
          <w:tcPr>
            <w:tcW w:type="dxa" w:w="1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666666"/>
                <w:sz w:val="20"/>
                <w:szCs w:val="20"/>
              </w:rPr>
              <w:t xml:space="preserve">→ Neutral</w:t>
            </w:r>
          </w:p>
        </w:tc>
        <w:tc>
          <w:tcPr>
            <w:tcW w:type="dxa" w:w="14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Long-term negative</w:t>
            </w:r>
          </w:p>
        </w:tc>
        <w:tc>
          <w:tcPr>
            <w:tcW w:type="dxa" w:w="1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High</w:t>
            </w:r>
          </w:p>
        </w:tc>
        <w:tc>
          <w:tcPr>
            <w:tcW w:type="dxa" w:w="22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Climate loss expansion</w:t>
            </w:r>
          </w:p>
        </w:tc>
        <w:tc>
          <w:tcPr>
            <w:tcW w:type="dxa" w:w="24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b/>
                <w:bCs/>
                <w:color w:val="2C5F8A"/>
                <w:sz w:val="20"/>
                <w:szCs w:val="20"/>
              </w:rPr>
              <w:t xml:space="preserve">—</w:t>
            </w:r>
          </w:p>
        </w:tc>
      </w:tr>
      <w:tr>
        <w:tc>
          <w:tcPr>
            <w:tcW w:type="dxa" w:w="16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333333"/>
                <w:sz w:val="20"/>
                <w:szCs w:val="20"/>
              </w:rPr>
              <w:t xml:space="preserve">Agriculture</w:t>
            </w:r>
          </w:p>
        </w:tc>
        <w:tc>
          <w:tcPr>
            <w:tcW w:type="dxa" w:w="1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666666"/>
                <w:sz w:val="20"/>
                <w:szCs w:val="20"/>
              </w:rPr>
              <w:t xml:space="preserve">↔ Mixed</w:t>
            </w:r>
          </w:p>
        </w:tc>
        <w:tc>
          <w:tcPr>
            <w:tcW w:type="dxa" w:w="14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Uncertain</w:t>
            </w:r>
          </w:p>
        </w:tc>
        <w:tc>
          <w:tcPr>
            <w:tcW w:type="dxa" w:w="1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Low</w:t>
            </w:r>
          </w:p>
        </w:tc>
        <w:tc>
          <w:tcPr>
            <w:tcW w:type="dxa" w:w="22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Carbon farming incentive</w:t>
            </w:r>
          </w:p>
        </w:tc>
        <w:tc>
          <w:tcPr>
            <w:tcW w:type="dxa" w:w="24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b/>
                <w:bCs/>
                <w:color w:val="2C5F8A"/>
                <w:sz w:val="20"/>
                <w:szCs w:val="20"/>
              </w:rPr>
              <w:t xml:space="preserve">—</w:t>
            </w:r>
          </w:p>
        </w:tc>
      </w:tr>
    </w:tbl>
    <w:p>
      <w:pPr>
        <w:pStyle w:val="Heading1"/>
        <w:spacing w:before="360" w:after="200"/>
      </w:pPr>
      <w:r>
        <w:t xml:space="preserve">7. Market Size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rPr>
          <w:tblHeader/>
        </w:trPr>
        <w:tc>
          <w:tcPr>
            <w:tcW w:type="dxa" w:w="400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Category</w:t>
            </w:r>
          </w:p>
        </w:tc>
        <w:tc>
          <w:tcPr>
            <w:tcW w:type="dxa" w:w="5840"/>
            <w:tcBorders>
              <w:top w:val="single" w:color="BBBBBB" w:sz="1"/>
              <w:left w:val="single" w:color="BBBBBB" w:sz="1"/>
              <w:bottom w:val="single" w:color="BBBBBB" w:sz="1"/>
              <w:right w:val="single" w:color="BBBBBB" w:sz="1"/>
            </w:tcBorders>
            <w:shd w:fill="1B3A5C" w:val="clear"/>
            <w:vAlign w:val="center"/>
          </w:tcPr>
          <w:p>
            <w:pPr>
              <w:spacing w:before="60" w:after="60"/>
              <w:jc w:val="center"/>
            </w:pPr>
            <w:r>
              <w:rPr>
                <w:rFonts w:ascii="Arial" w:cs="Arial" w:eastAsia="Arial" w:hAnsi="Arial"/>
                <w:b/>
                <w:bCs/>
                <w:color w:val="FFFFFF"/>
                <w:sz w:val="20"/>
                <w:szCs w:val="20"/>
              </w:rPr>
              <w:t xml:space="preserve">Value</w:t>
            </w:r>
          </w:p>
        </w:tc>
      </w:tr>
      <w:tr>
        <w:tc>
          <w:tcPr>
            <w:tcW w:type="dxa" w:w="4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Global Energy Transition Investment</w:t>
            </w:r>
          </w:p>
        </w:tc>
        <w:tc>
          <w:tcPr>
            <w:tcW w:type="dxa" w:w="58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$2.3T (2025, +8% YoY)</w:t>
            </w:r>
          </w:p>
        </w:tc>
      </w:tr>
      <w:tr>
        <w:tc>
          <w:tcPr>
            <w:tcW w:type="dxa" w:w="4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Renewable Energy Investment</w:t>
            </w:r>
          </w:p>
        </w:tc>
        <w:tc>
          <w:tcPr>
            <w:tcW w:type="dxa" w:w="58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$690B (2025)</w:t>
            </w:r>
          </w:p>
        </w:tc>
      </w:tr>
      <w:tr>
        <w:tc>
          <w:tcPr>
            <w:tcW w:type="dxa" w:w="4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EV / Transportation Investment</w:t>
            </w:r>
          </w:p>
        </w:tc>
        <w:tc>
          <w:tcPr>
            <w:tcW w:type="dxa" w:w="58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$893B (2025)</w:t>
            </w:r>
          </w:p>
        </w:tc>
      </w:tr>
      <w:tr>
        <w:tc>
          <w:tcPr>
            <w:tcW w:type="dxa" w:w="4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Global ESG Fund AUM</w:t>
            </w:r>
          </w:p>
        </w:tc>
        <w:tc>
          <w:tcPr>
            <w:tcW w:type="dxa" w:w="58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$3.92T</w:t>
            </w:r>
          </w:p>
        </w:tc>
      </w:tr>
      <w:tr>
        <w:tc>
          <w:tcPr>
            <w:tcW w:type="dxa" w:w="400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Global Carbon Credit Market</w:t>
            </w:r>
          </w:p>
        </w:tc>
        <w:tc>
          <w:tcPr>
            <w:tcW w:type="dxa" w:w="5840"/>
            <w:tcBorders>
              <w:top w:val="single" w:color="BBBBBB" w:sz="1"/>
              <w:left w:val="single" w:color="BBBBBB" w:sz="1"/>
              <w:bottom w:val="single" w:color="BBBBBB" w:sz="1"/>
              <w:right w:val="single" w:color="BBBBBB" w:sz="1"/>
            </w:tcBorders>
            <w:shd w:fill="FFFFFF" w:val="clear"/>
            <w:vAlign w:val="center"/>
          </w:tcPr>
          <w:p>
            <w:pPr>
              <w:spacing w:before="40" w:after="40"/>
              <w:ind w:left="80"/>
              <w:jc w:val="left"/>
            </w:pPr>
            <w:r>
              <w:rPr>
                <w:rFonts w:ascii="Arial" w:cs="Arial" w:eastAsia="Arial" w:hAnsi="Arial"/>
                <w:color w:val="333333"/>
                <w:sz w:val="20"/>
                <w:szCs w:val="20"/>
              </w:rPr>
              <w:t xml:space="preserve">$114.3B → $127.3B (2026E)</w:t>
            </w:r>
          </w:p>
        </w:tc>
      </w:tr>
      <w:tr>
        <w:tc>
          <w:tcPr>
            <w:tcW w:type="dxa" w:w="400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Power Grid Investment</w:t>
            </w:r>
          </w:p>
        </w:tc>
        <w:tc>
          <w:tcPr>
            <w:tcW w:type="dxa" w:w="5840"/>
            <w:tcBorders>
              <w:top w:val="single" w:color="BBBBBB" w:sz="1"/>
              <w:left w:val="single" w:color="BBBBBB" w:sz="1"/>
              <w:bottom w:val="single" w:color="BBBBBB" w:sz="1"/>
              <w:right w:val="single" w:color="BBBBBB" w:sz="1"/>
            </w:tcBorders>
            <w:shd w:fill="F2F7FB" w:val="clear"/>
            <w:vAlign w:val="center"/>
          </w:tcPr>
          <w:p>
            <w:pPr>
              <w:spacing w:before="40" w:after="40"/>
              <w:ind w:left="80"/>
              <w:jc w:val="left"/>
            </w:pPr>
            <w:r>
              <w:rPr>
                <w:rFonts w:ascii="Arial" w:cs="Arial" w:eastAsia="Arial" w:hAnsi="Arial"/>
                <w:color w:val="333333"/>
                <w:sz w:val="20"/>
                <w:szCs w:val="20"/>
              </w:rPr>
              <w:t xml:space="preserve">$483B (2025)</w:t>
            </w:r>
          </w:p>
        </w:tc>
      </w:tr>
    </w:tbl>
    <w:p>
      <w:r>
        <w:br w:type="page"/>
      </w:r>
    </w:p>
    <w:p>
      <w:pPr>
        <w:pStyle w:val="Heading1"/>
        <w:spacing w:before="360" w:after="200"/>
      </w:pPr>
      <w:r>
        <w:t xml:space="preserve">Key Conclusions</w:t>
      </w:r>
    </w:p>
    <w:p>
      <w:pPr>
        <w:pStyle w:val="ListParagraph"/>
        <w:numPr>
          <w:ilvl w:val="0"/>
          <w:numId w:val="3"/>
        </w:numPr>
        <w:spacing w:before="120" w:after="120"/>
      </w:pPr>
      <w:r>
        <w:rPr>
          <w:rFonts w:ascii="Arial" w:cs="Arial" w:eastAsia="Arial" w:hAnsi="Arial"/>
          <w:b/>
          <w:bCs/>
          <w:sz w:val="22"/>
          <w:szCs w:val="22"/>
        </w:rPr>
        <w:t xml:space="preserve">Legal uncertainty is the #1 variable: </w:t>
      </w:r>
      <w:r>
        <w:rPr>
          <w:rFonts w:ascii="Arial" w:cs="Arial" w:eastAsia="Arial" w:hAnsi="Arial"/>
          <w:sz w:val="22"/>
          <w:szCs w:val="22"/>
        </w:rPr>
        <w:t xml:space="preserve">Courts have uniformly rejected all challenges to the Endangerment Finding. Years of litigation impose risk on BOTH long and short positions.</w:t>
      </w:r>
    </w:p>
    <w:p>
      <w:pPr>
        <w:pStyle w:val="ListParagraph"/>
        <w:numPr>
          <w:ilvl w:val="0"/>
          <w:numId w:val="3"/>
        </w:numPr>
        <w:spacing w:before="120" w:after="120"/>
      </w:pPr>
      <w:r>
        <w:rPr>
          <w:rFonts w:ascii="Arial" w:cs="Arial" w:eastAsia="Arial" w:hAnsi="Arial"/>
          <w:b/>
          <w:bCs/>
          <w:sz w:val="22"/>
          <w:szCs w:val="22"/>
        </w:rPr>
        <w:t xml:space="preserve">Double Hit structure: </w:t>
      </w:r>
      <w:r>
        <w:rPr>
          <w:rFonts w:ascii="Arial" w:cs="Arial" w:eastAsia="Arial" w:hAnsi="Arial"/>
          <w:sz w:val="22"/>
          <w:szCs w:val="22"/>
        </w:rPr>
        <w:t xml:space="preserve">Endangerment Finding repeal + IRA tax credit accelerated phase-out simultaneously weaken the legal foundation AND financial incentives for clean energy/EV sectors — unprecedented.</w:t>
      </w:r>
    </w:p>
    <w:p>
      <w:pPr>
        <w:pStyle w:val="ListParagraph"/>
        <w:numPr>
          <w:ilvl w:val="0"/>
          <w:numId w:val="3"/>
        </w:numPr>
        <w:spacing w:before="120" w:after="120"/>
      </w:pPr>
      <w:r>
        <w:rPr>
          <w:rFonts w:ascii="Arial" w:cs="Arial" w:eastAsia="Arial" w:hAnsi="Arial"/>
          <w:b/>
          <w:bCs/>
          <w:sz w:val="22"/>
          <w:szCs w:val="22"/>
        </w:rPr>
        <w:t xml:space="preserve">Paradoxical litigation risk: </w:t>
      </w:r>
      <w:r>
        <w:rPr>
          <w:rFonts w:ascii="Arial" w:cs="Arial" w:eastAsia="Arial" w:hAnsi="Arial"/>
          <w:sz w:val="22"/>
          <w:szCs w:val="22"/>
        </w:rPr>
        <w:t xml:space="preserve">EPA's voluntary relinquishment of regulatory authority may revive direct public nuisance lawsuits against fossil fuel companies — a mid-term trap for the fossil fuel bull thesis.</w:t>
      </w:r>
    </w:p>
    <w:p>
      <w:pPr>
        <w:pStyle w:val="ListParagraph"/>
        <w:numPr>
          <w:ilvl w:val="0"/>
          <w:numId w:val="3"/>
        </w:numPr>
        <w:spacing w:before="120" w:after="120"/>
      </w:pPr>
      <w:r>
        <w:rPr>
          <w:rFonts w:ascii="Arial" w:cs="Arial" w:eastAsia="Arial" w:hAnsi="Arial"/>
          <w:b/>
          <w:bCs/>
          <w:sz w:val="22"/>
          <w:szCs w:val="22"/>
        </w:rPr>
        <w:t xml:space="preserve">Regulatory fragmentation: </w:t>
      </w:r>
      <w:r>
        <w:rPr>
          <w:rFonts w:ascii="Arial" w:cs="Arial" w:eastAsia="Arial" w:hAnsi="Arial"/>
          <w:sz w:val="22"/>
          <w:szCs w:val="22"/>
        </w:rPr>
        <w:t xml:space="preserve">California (Cap-and-Trade to 2045), RGGI, and individual state climate laws persist. US companies face divergent regulatory environments by region → increased operational complexity.</w:t>
      </w:r>
    </w:p>
    <w:p>
      <w:pPr>
        <w:pStyle w:val="ListParagraph"/>
        <w:numPr>
          <w:ilvl w:val="0"/>
          <w:numId w:val="3"/>
        </w:numPr>
        <w:spacing w:before="120" w:after="120"/>
      </w:pPr>
      <w:r>
        <w:rPr>
          <w:rFonts w:ascii="Arial" w:cs="Arial" w:eastAsia="Arial" w:hAnsi="Arial"/>
          <w:b/>
          <w:bCs/>
          <w:sz w:val="22"/>
          <w:szCs w:val="22"/>
        </w:rPr>
        <w:t xml:space="preserve">Divergence from global trends: </w:t>
      </w:r>
      <w:r>
        <w:rPr>
          <w:rFonts w:ascii="Arial" w:cs="Arial" w:eastAsia="Arial" w:hAnsi="Arial"/>
          <w:sz w:val="22"/>
          <w:szCs w:val="22"/>
        </w:rPr>
        <w:t xml:space="preserve">Global energy transition investment hit record $2.3T in 2025; EU CBAM launches 2026. US regulatory retreat runs directly counter to global direction, potentially undermining US corporate international competitiveness long-term.</w:t>
      </w:r>
    </w:p>
    <w:p>
      <w:r>
        <w:br w:type="page"/>
      </w:r>
    </w:p>
    <w:p>
      <w:pPr>
        <w:pStyle w:val="Heading1"/>
        <w:spacing w:before="360" w:after="200"/>
      </w:pPr>
      <w:r>
        <w:t xml:space="preserve">Sources</w:t>
      </w:r>
    </w:p>
    <w:p>
      <w:pPr>
        <w:pStyle w:val="ListParagraph"/>
        <w:numPr>
          <w:ilvl w:val="0"/>
          <w:numId w:val="4"/>
        </w:numPr>
        <w:spacing w:before="40" w:after="40"/>
      </w:pPr>
      <w:hyperlink w:history="1" r:id="rIdl1liblybdq6hr5zc__161">
        <w:r>
          <w:rPr>
            <w:rStyle w:val="Hyperlink"/>
            <w:rFonts w:ascii="Arial" w:cs="Arial" w:eastAsia="Arial" w:hAnsi="Arial"/>
            <w:sz w:val="20"/>
            <w:szCs w:val="20"/>
          </w:rPr>
          <w:t xml:space="preserve">NPR: Trump's EPA will stop regulating greenhouse gases</w:t>
        </w:r>
      </w:hyperlink>
    </w:p>
    <w:p>
      <w:pPr>
        <w:pStyle w:val="ListParagraph"/>
        <w:numPr>
          <w:ilvl w:val="0"/>
          <w:numId w:val="4"/>
        </w:numPr>
        <w:spacing w:before="40" w:after="40"/>
      </w:pPr>
      <w:hyperlink w:history="1" r:id="rIdyzmpy8stymalwpyualmyh">
        <w:r>
          <w:rPr>
            <w:rStyle w:val="Hyperlink"/>
            <w:rFonts w:ascii="Arial" w:cs="Arial" w:eastAsia="Arial" w:hAnsi="Arial"/>
            <w:sz w:val="20"/>
            <w:szCs w:val="20"/>
          </w:rPr>
          <w:t xml:space="preserve">CNBC: Trump revokes EPA endangerment finding</w:t>
        </w:r>
      </w:hyperlink>
    </w:p>
    <w:p>
      <w:pPr>
        <w:pStyle w:val="ListParagraph"/>
        <w:numPr>
          <w:ilvl w:val="0"/>
          <w:numId w:val="4"/>
        </w:numPr>
        <w:spacing w:before="40" w:after="40"/>
      </w:pPr>
      <w:hyperlink w:history="1" r:id="rIdrnpmzguvwvvh0nqpgy4lr">
        <w:r>
          <w:rPr>
            <w:rStyle w:val="Hyperlink"/>
            <w:rFonts w:ascii="Arial" w:cs="Arial" w:eastAsia="Arial" w:hAnsi="Arial"/>
            <w:sz w:val="20"/>
            <w:szCs w:val="20"/>
          </w:rPr>
          <w:t xml:space="preserve">CNBC: How EPA repeal could impact your wallet</w:t>
        </w:r>
      </w:hyperlink>
    </w:p>
    <w:p>
      <w:pPr>
        <w:pStyle w:val="ListParagraph"/>
        <w:numPr>
          <w:ilvl w:val="0"/>
          <w:numId w:val="4"/>
        </w:numPr>
        <w:spacing w:before="40" w:after="40"/>
      </w:pPr>
      <w:hyperlink w:history="1" r:id="rIdakk8rz7pvmgfl9sw4cf7l">
        <w:r>
          <w:rPr>
            <w:rStyle w:val="Hyperlink"/>
            <w:rFonts w:ascii="Arial" w:cs="Arial" w:eastAsia="Arial" w:hAnsi="Arial"/>
            <w:sz w:val="20"/>
            <w:szCs w:val="20"/>
          </w:rPr>
          <w:t xml:space="preserve">Grist: Trump killed EPA's climate fight — It may backfire</w:t>
        </w:r>
      </w:hyperlink>
    </w:p>
    <w:p>
      <w:pPr>
        <w:pStyle w:val="ListParagraph"/>
        <w:numPr>
          <w:ilvl w:val="0"/>
          <w:numId w:val="4"/>
        </w:numPr>
        <w:spacing w:before="40" w:after="40"/>
      </w:pPr>
      <w:hyperlink w:history="1" r:id="rIdkjqzzsp_ym3at07pzbyte">
        <w:r>
          <w:rPr>
            <w:rStyle w:val="Hyperlink"/>
            <w:rFonts w:ascii="Arial" w:cs="Arial" w:eastAsia="Arial" w:hAnsi="Arial"/>
            <w:sz w:val="20"/>
            <w:szCs w:val="20"/>
          </w:rPr>
          <w:t xml:space="preserve">WRI: Endangerment Finding Repeal Explained</w:t>
        </w:r>
      </w:hyperlink>
    </w:p>
    <w:p>
      <w:pPr>
        <w:pStyle w:val="ListParagraph"/>
        <w:numPr>
          <w:ilvl w:val="0"/>
          <w:numId w:val="4"/>
        </w:numPr>
        <w:spacing w:before="40" w:after="40"/>
      </w:pPr>
      <w:hyperlink w:history="1" r:id="rId91eza-wld9wsj_sa_vlow">
        <w:r>
          <w:rPr>
            <w:rStyle w:val="Hyperlink"/>
            <w:rFonts w:ascii="Arial" w:cs="Arial" w:eastAsia="Arial" w:hAnsi="Arial"/>
            <w:sz w:val="20"/>
            <w:szCs w:val="20"/>
          </w:rPr>
          <w:t xml:space="preserve">Earthjustice Statement</w:t>
        </w:r>
      </w:hyperlink>
    </w:p>
    <w:p>
      <w:pPr>
        <w:pStyle w:val="ListParagraph"/>
        <w:numPr>
          <w:ilvl w:val="0"/>
          <w:numId w:val="4"/>
        </w:numPr>
        <w:spacing w:before="40" w:after="40"/>
      </w:pPr>
      <w:hyperlink w:history="1" r:id="rIdi4xvqtvnrfplxydb7tmbm">
        <w:r>
          <w:rPr>
            <w:rStyle w:val="Hyperlink"/>
            <w:rFonts w:ascii="Arial" w:cs="Arial" w:eastAsia="Arial" w:hAnsi="Arial"/>
            <w:sz w:val="20"/>
            <w:szCs w:val="20"/>
          </w:rPr>
          <w:t xml:space="preserve">California AG: Vows to Sue</w:t>
        </w:r>
      </w:hyperlink>
    </w:p>
    <w:p>
      <w:pPr>
        <w:pStyle w:val="ListParagraph"/>
        <w:numPr>
          <w:ilvl w:val="0"/>
          <w:numId w:val="4"/>
        </w:numPr>
        <w:spacing w:before="40" w:after="40"/>
      </w:pPr>
      <w:hyperlink w:history="1" r:id="rIdnhsq05abu5jycoqcxfwzu">
        <w:r>
          <w:rPr>
            <w:rStyle w:val="Hyperlink"/>
            <w:rFonts w:ascii="Arial" w:cs="Arial" w:eastAsia="Arial" w:hAnsi="Arial"/>
            <w:sz w:val="20"/>
            <w:szCs w:val="20"/>
          </w:rPr>
          <w:t xml:space="preserve">Georgetown Climate Center</w:t>
        </w:r>
      </w:hyperlink>
    </w:p>
    <w:p>
      <w:pPr>
        <w:pStyle w:val="ListParagraph"/>
        <w:numPr>
          <w:ilvl w:val="0"/>
          <w:numId w:val="4"/>
        </w:numPr>
        <w:spacing w:before="40" w:after="40"/>
      </w:pPr>
      <w:hyperlink w:history="1" r:id="rIdmmmcp-qu26zfeq6eyna36">
        <w:r>
          <w:rPr>
            <w:rStyle w:val="Hyperlink"/>
            <w:rFonts w:ascii="Arial" w:cs="Arial" w:eastAsia="Arial" w:hAnsi="Arial"/>
            <w:sz w:val="20"/>
            <w:szCs w:val="20"/>
          </w:rPr>
          <w:t xml:space="preserve">pv magazine: Solar and clean energy legal bedrock stripped</w:t>
        </w:r>
      </w:hyperlink>
    </w:p>
    <w:p>
      <w:pPr>
        <w:pStyle w:val="ListParagraph"/>
        <w:numPr>
          <w:ilvl w:val="0"/>
          <w:numId w:val="4"/>
        </w:numPr>
        <w:spacing w:before="40" w:after="40"/>
      </w:pPr>
      <w:hyperlink w:history="1" r:id="rIdvuymbo-_lhv14-woshjxp">
        <w:r>
          <w:rPr>
            <w:rStyle w:val="Hyperlink"/>
            <w:rFonts w:ascii="Arial" w:cs="Arial" w:eastAsia="Arial" w:hAnsi="Arial"/>
            <w:sz w:val="20"/>
            <w:szCs w:val="20"/>
          </w:rPr>
          <w:t xml:space="preserve">Arnold &amp; Porter: From IRA to OBBBA</w:t>
        </w:r>
      </w:hyperlink>
    </w:p>
    <w:p>
      <w:pPr>
        <w:spacing w:before="600"/>
      </w:pPr>
      <w:r>
        <w:rPr>
          <w:color w:val="CCCCCC"/>
          <w:sz w:val="16"/>
          <w:szCs w:val="16"/>
        </w:rPr>
        <w:t xml:space="preserve">────────────────────────────────────────────────────────────</w:t>
      </w:r>
    </w:p>
    <w:p>
      <w:pPr>
        <w:spacing w:before="120" w:after="60"/>
      </w:pPr>
      <w:r>
        <w:rPr>
          <w:rFonts w:ascii="Arial" w:cs="Arial" w:eastAsia="Arial" w:hAnsi="Arial"/>
          <w:i/>
          <w:iCs/>
          <w:color w:val="999999"/>
          <w:sz w:val="18"/>
          <w:szCs w:val="18"/>
        </w:rPr>
        <w:t xml:space="preserve">DISCLAIMER: This report is for informational purposes only and does not constitute investment advice. All data is sourced from publicly available information as of 2026-02-13. Past performance is not indicative of future results.</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Triple Environmental Scanning System | Investment Sector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7A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l1liblybdq6hr5zc__161" Type="http://schemas.openxmlformats.org/officeDocument/2006/relationships/hyperlink" Target="https://www.npr.org/2026/02/11/nx-s1-5678273/trump-epa-climate-change-endangerment" TargetMode="External"/><Relationship Id="rIdyzmpy8stymalwpyualmyh" Type="http://schemas.openxmlformats.org/officeDocument/2006/relationships/hyperlink" Target="https://www.cnbc.com/2026/02/12/trump-epa-endangerment-finding-climate-change-greenhouse-gas.html" TargetMode="External"/><Relationship Id="rIdrnpmzguvwvvh0nqpgy4lr" Type="http://schemas.openxmlformats.org/officeDocument/2006/relationships/hyperlink" Target="https://www.cnbc.com/2026/02/12/epa-endangerment-finding-repeal.html" TargetMode="External"/><Relationship Id="rIdakk8rz7pvmgfl9sw4cf7l" Type="http://schemas.openxmlformats.org/officeDocument/2006/relationships/hyperlink" Target="https://grist.org/politics/trump-epa-endangerment-finding-greenhouse-gases/" TargetMode="External"/><Relationship Id="rIdkjqzzsp_ym3at07pzbyte" Type="http://schemas.openxmlformats.org/officeDocument/2006/relationships/hyperlink" Target="https://www.wri.org/insights/endangerment-finding-repeal-explained" TargetMode="External"/><Relationship Id="rId91eza-wld9wsj_sa_vlow" Type="http://schemas.openxmlformats.org/officeDocument/2006/relationships/hyperlink" Target="https://earthjustice.org/press/2026/earthjustice-endangerment-finding-statement" TargetMode="External"/><Relationship Id="rIdi4xvqtvnrfplxydb7tmbm" Type="http://schemas.openxmlformats.org/officeDocument/2006/relationships/hyperlink" Target="https://oag.ca.gov/news/press-releases/california-attorney-general-rob-bonta-denounces-epa-rescission-greenhouse-0" TargetMode="External"/><Relationship Id="rIdnhsq05abu5jycoqcxfwzu" Type="http://schemas.openxmlformats.org/officeDocument/2006/relationships/hyperlink" Target="https://www.georgetownclimate.org/blog/epa-proposed-endangerment-finding-revocation" TargetMode="External"/><Relationship Id="rIdmmmcp-qu26zfeq6eyna36" Type="http://schemas.openxmlformats.org/officeDocument/2006/relationships/hyperlink" Target="https://pv-magazine-usa.com/2026/02/12/trump-epa-repeals-endangerment-finding" TargetMode="External"/><Relationship Id="rIdvuymbo-_lhv14-woshjxp" Type="http://schemas.openxmlformats.org/officeDocument/2006/relationships/hyperlink" Target="https://www.arnoldporter.com/en/perspectives/advisories/2025/07/from-ira-to-obbba"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2026-02-12T23:13:00.832Z</dcterms:created>
  <dcterms:modified xsi:type="dcterms:W3CDTF">2026-02-12T23:13:00.833Z</dcterms:modified>
</cp:coreProperties>
</file>

<file path=docProps/custom.xml><?xml version="1.0" encoding="utf-8"?>
<Properties xmlns="http://schemas.openxmlformats.org/officeDocument/2006/custom-properties" xmlns:vt="http://schemas.openxmlformats.org/officeDocument/2006/docPropsVTypes"/>
</file>