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Pr>
          <w:p>
            <w:pPr>
              <w:bidi w:val="1"/>
              <w:jc w:val="right"/>
            </w:pPr>
            <w:r>
              <w:rPr>
                <w:rtl/>
                <w:rFonts w:ascii="Arial" w:hAnsi="Arial" w:cs="Arial"/>
                <w:sz w:val="32"/>
                <w:szCs w:val="32"/>
                <w:b/>
                <w:bCs/>
              </w:rPr>
              <w:t xml:space="preserve">חוות דעת — שומת מקרקעין — מלאה</w:t>
            </w:r>
          </w:p>
        </w:tc>
      </w:tr>
      <w:tr>
        <w:tc>
          <w:tcPr>
            <w:tcW w:type="dxa" w:w="9406"/>
          </w:tcPr>
          <w:p>
            <w:pPr>
              <w:bidi w:val="1"/>
              <w:jc w:val="right"/>
            </w:pPr>
            <w:r>
              <w:rPr>
                <w:rtl/>
                <w:rFonts w:ascii="Arial" w:hAnsi="Arial" w:cs="Arial"/>
                <w:sz w:val="26"/>
                <w:szCs w:val="26"/>
                <w:b/>
                <w:bCs/>
              </w:rPr>
              <w:t xml:space="preserve">הנדון: אומדן שווי לצורך בטוחה למתן אשראי לפי תקן 19 — דירת 4.0 חדרים</w:t>
            </w:r>
          </w:p>
        </w:tc>
      </w:tr>
      <w:tr>
        <w:tc>
          <w:tcPr>
            <w:tcW w:type="dxa" w:w="9406"/>
          </w:tcPr>
          <w:p>
            <w:pPr>
              <w:bidi w:val="1"/>
              <w:jc w:val="right"/>
            </w:pPr>
            <w:r>
              <w:rPr>
                <w:rtl/>
                <w:rFonts w:ascii="Arial" w:hAnsi="Arial" w:cs="Arial"/>
                <w:sz w:val="24"/>
                <w:szCs w:val="24"/>
              </w:rPr>
              <w:t xml:space="preserve">גוש 6130, חלקה 27, תת חלקה 8</w:t>
            </w:r>
          </w:p>
        </w:tc>
      </w:tr>
      <w:tr>
        <w:tc>
          <w:tcPr>
            <w:tcW w:type="dxa" w:w="9406"/>
          </w:tcPr>
          <w:p>
            <w:pPr>
              <w:bidi w:val="1"/>
              <w:jc w:val="right"/>
            </w:pPr>
            <w:r>
              <w:rPr>
                <w:rtl/>
                <w:rFonts w:ascii="Arial" w:hAnsi="Arial" w:cs="Arial"/>
                <w:sz w:val="24"/>
                <w:szCs w:val="24"/>
              </w:rPr>
              <w:t xml:space="preserve">רחוב ביאליק 15, רמת גן</w:t>
            </w:r>
          </w:p>
        </w:tc>
      </w:tr>
    </w:tbl>
    <w:p>
      <w:pPr>
        <w:bidi w:val="1"/>
        <w:spacing w:before="0" w:after="240"/>
        <w:jc w:val="right"/>
      </w:pPr>
    </w:p>
    <w:p>
      <w:pPr>
        <w:bidi w:val="1"/>
        <w:spacing w:before="0" w:after="80"/>
        <w:jc w:val="right"/>
      </w:pPr>
      <w:r>
        <w:rPr>
          <w:b w:val="0"/>
          <w:rtl/>
          <w:rFonts w:ascii="Arial" w:hAnsi="Arial" w:cs="Arial"/>
          <w:sz w:val="24"/>
          <w:szCs w:val="24"/>
        </w:rPr>
        <w:t>06/05/2025</w:t>
      </w:r>
    </w:p>
    <w:p>
      <w:pPr>
        <w:bidi w:val="1"/>
        <w:spacing w:before="0" w:after="240"/>
        <w:jc w:val="right"/>
      </w:pPr>
      <w:r>
        <w:rPr>
          <w:b w:val="0"/>
          <w:rtl/>
          <w:rFonts w:ascii="Arial" w:hAnsi="Arial" w:cs="Arial"/>
          <w:sz w:val="24"/>
          <w:szCs w:val="24"/>
        </w:rPr>
        <w:t>חוות דעת מספר: 2025/123</w:t>
      </w:r>
    </w:p>
    <w:p>
      <w:pPr>
        <w:bidi w:val="1"/>
        <w:spacing w:before="0" w:after="40"/>
        <w:jc w:val="right"/>
      </w:pPr>
      <w:r>
        <w:rPr>
          <w:b w:val="0"/>
          <w:rtl/>
          <w:rFonts w:ascii="Arial" w:hAnsi="Arial" w:cs="Arial"/>
          <w:sz w:val="24"/>
          <w:szCs w:val="24"/>
        </w:rPr>
        <w:t>לכבוד</w:t>
      </w:r>
    </w:p>
    <w:p>
      <w:pPr>
        <w:bidi w:val="1"/>
        <w:spacing w:before="0" w:after="40"/>
        <w:jc w:val="right"/>
      </w:pPr>
      <w:r>
        <w:rPr>
          <w:b w:val="0"/>
          <w:rtl/>
          <w:rFonts w:ascii="Arial" w:hAnsi="Arial" w:cs="Arial"/>
          <w:sz w:val="24"/>
          <w:szCs w:val="24"/>
        </w:rPr>
        <w:t>מר ישראל ישראלי</w:t>
      </w:r>
    </w:p>
    <w:p>
      <w:pPr>
        <w:bidi w:val="1"/>
        <w:spacing w:before="0" w:after="240"/>
        <w:jc w:val="right"/>
      </w:pPr>
      <w:r>
        <w:rPr>
          <w:b w:val="0"/>
          <w:rtl/>
          <w:rFonts w:ascii="Arial" w:hAnsi="Arial" w:cs="Arial"/>
          <w:sz w:val="24"/>
          <w:szCs w:val="24"/>
        </w:rPr>
        <w:t>א.ג.נ</w:t>
      </w:r>
    </w:p>
    <w:p>
      <w:pPr>
        <w:bidi w:val="1"/>
        <w:spacing w:before="0" w:after="160"/>
        <w:jc w:val="right"/>
      </w:pPr>
      <w:r>
        <w:rPr>
          <w:b w:val="0"/>
          <w:rtl/>
          <w:rFonts w:ascii="Arial" w:hAnsi="Arial" w:cs="Arial"/>
          <w:sz w:val="24"/>
          <w:szCs w:val="24"/>
        </w:rPr>
        <w:t>בהתאם לבקשתך, ערכנו חוות דעת ביחס לשווי הנכס שבנדון לצורך אומדן שווי לצורך בטוחה למתן אשראי לפי תקן 19 ולהלן חוות הדעת:</w:t>
      </w:r>
    </w:p>
    <w:p>
      <w:r>
        <w:br w:type="page"/>
      </w:r>
    </w:p>
    <w:p>
      <w:pPr>
        <w:bidi w:val="1"/>
        <w:spacing w:before="200" w:after="120"/>
        <w:jc w:val="right"/>
      </w:pPr>
      <w:r>
        <w:rPr>
          <w:b/>
          <w:rtl/>
          <w:rFonts w:ascii="Arial" w:hAnsi="Arial" w:cs="Arial"/>
          <w:sz w:val="26"/>
          <w:szCs w:val="26"/>
          <w:b/>
          <w:bCs/>
        </w:rPr>
        <w:t>פרטי הנכס</w:t>
      </w:r>
    </w:p>
    <w:tbl>
      <w:tblPr>
        <w:tblStyle w:val="TableGrid"/>
        <w:tblW w:type="auto" w:w="0"/>
        <w:tblLook w:firstColumn="1" w:firstRow="1" w:lastColumn="0" w:lastRow="0" w:noHBand="0" w:noVBand="1" w:val="04A0"/>
      </w:tblPr>
      <w:tblGrid>
        <w:gridCol w:w="4703"/>
        <w:gridCol w:w="4703"/>
      </w:tblGrid>
      <w:tr>
        <w:tc>
          <w:tcPr>
            <w:tcW w:type="dxa" w:w="2551"/>
          </w:tcPr>
          <w:p>
            <w:pPr>
              <w:bidi w:val="1"/>
              <w:jc w:val="right"/>
            </w:pPr>
            <w:r>
              <w:rPr>
                <w:rtl/>
                <w:rFonts w:ascii="Arial" w:hAnsi="Arial" w:cs="Arial"/>
                <w:sz w:val="24"/>
                <w:szCs w:val="24"/>
                <w:b/>
                <w:bCs/>
              </w:rPr>
              <w:t xml:space="preserve">מטרת חוות הדעת</w:t>
            </w:r>
          </w:p>
        </w:tc>
        <w:tc>
          <w:tcPr>
            <w:tcW w:type="dxa" w:w="6520"/>
          </w:tcPr>
          <w:p>
            <w:pPr>
              <w:bidi w:val="1"/>
              <w:jc w:val="right"/>
            </w:pPr>
            <w:r>
              <w:rPr>
                <w:rtl/>
                <w:rFonts w:ascii="Arial" w:hAnsi="Arial" w:cs="Arial"/>
                <w:sz w:val="24"/>
                <w:szCs w:val="24"/>
              </w:rPr>
              <w:t xml:space="preserve">אומדן שווי לצורך בטוחה למתן אשראי לפי תקן 19</w:t>
            </w:r>
          </w:p>
        </w:tc>
      </w:tr>
      <w:tr>
        <w:tc>
          <w:tcPr>
            <w:tcW w:type="dxa" w:w="2551"/>
          </w:tcPr>
          <w:p>
            <w:pPr>
              <w:bidi w:val="1"/>
              <w:jc w:val="right"/>
            </w:pPr>
            <w:r>
              <w:rPr>
                <w:rtl/>
                <w:rFonts w:ascii="Arial" w:hAnsi="Arial" w:cs="Arial"/>
                <w:sz w:val="24"/>
                <w:szCs w:val="24"/>
                <w:b/>
                <w:bCs/>
              </w:rPr>
              <w:t xml:space="preserve">מזמין חוות הדעת</w:t>
            </w:r>
          </w:p>
        </w:tc>
        <w:tc>
          <w:tcPr>
            <w:tcW w:type="dxa" w:w="6520"/>
          </w:tcPr>
          <w:p>
            <w:pPr>
              <w:bidi w:val="1"/>
              <w:jc w:val="right"/>
            </w:pPr>
            <w:r>
              <w:rPr>
                <w:rtl/>
                <w:rFonts w:ascii="Arial" w:hAnsi="Arial" w:cs="Arial"/>
                <w:sz w:val="24"/>
                <w:szCs w:val="24"/>
              </w:rPr>
              <w:t xml:space="preserve">ישראל ישראלי</w:t>
            </w:r>
          </w:p>
        </w:tc>
      </w:tr>
      <w:tr>
        <w:tc>
          <w:tcPr>
            <w:tcW w:type="dxa" w:w="2551"/>
          </w:tcPr>
          <w:p>
            <w:pPr>
              <w:bidi w:val="1"/>
              <w:jc w:val="right"/>
            </w:pPr>
            <w:r>
              <w:rPr>
                <w:rtl/>
                <w:rFonts w:ascii="Arial" w:hAnsi="Arial" w:cs="Arial"/>
                <w:sz w:val="24"/>
                <w:szCs w:val="24"/>
                <w:b/>
                <w:bCs/>
              </w:rPr>
              <w:t xml:space="preserve">בעלי הזכויות בנכס</w:t>
            </w:r>
          </w:p>
        </w:tc>
        <w:tc>
          <w:tcPr>
            <w:tcW w:type="dxa" w:w="6520"/>
          </w:tcPr>
          <w:p>
            <w:pPr>
              <w:bidi w:val="1"/>
              <w:jc w:val="right"/>
            </w:pPr>
            <w:r>
              <w:rPr>
                <w:rtl/>
                <w:rFonts w:ascii="Arial" w:hAnsi="Arial" w:cs="Arial"/>
                <w:sz w:val="24"/>
                <w:szCs w:val="24"/>
              </w:rPr>
              <w:t xml:space="preserve">ישראל ישראלי (1/1)</w:t>
            </w:r>
          </w:p>
        </w:tc>
      </w:tr>
      <w:tr>
        <w:tc>
          <w:tcPr>
            <w:tcW w:type="dxa" w:w="2551"/>
          </w:tcPr>
          <w:p>
            <w:pPr>
              <w:bidi w:val="1"/>
              <w:jc w:val="right"/>
            </w:pPr>
            <w:r>
              <w:rPr>
                <w:rtl/>
                <w:rFonts w:ascii="Arial" w:hAnsi="Arial" w:cs="Arial"/>
                <w:sz w:val="24"/>
                <w:szCs w:val="24"/>
                <w:b/>
                <w:bCs/>
              </w:rPr>
              <w:t xml:space="preserve">המועד הקובע</w:t>
            </w:r>
          </w:p>
        </w:tc>
        <w:tc>
          <w:tcPr>
            <w:tcW w:type="dxa" w:w="6520"/>
          </w:tcPr>
          <w:p>
            <w:pPr>
              <w:bidi w:val="1"/>
              <w:jc w:val="right"/>
            </w:pPr>
            <w:r>
              <w:rPr>
                <w:rtl/>
                <w:rFonts w:ascii="Arial" w:hAnsi="Arial" w:cs="Arial"/>
                <w:sz w:val="24"/>
                <w:szCs w:val="24"/>
              </w:rPr>
              <w:t xml:space="preserve">6 במאי 2025</w:t>
            </w:r>
          </w:p>
        </w:tc>
      </w:tr>
      <w:tr>
        <w:tc>
          <w:tcPr>
            <w:tcW w:type="dxa" w:w="2551"/>
          </w:tcPr>
          <w:p>
            <w:pPr>
              <w:bidi w:val="1"/>
              <w:jc w:val="right"/>
            </w:pPr>
            <w:r>
              <w:rPr>
                <w:rtl/>
                <w:rFonts w:ascii="Arial" w:hAnsi="Arial" w:cs="Arial"/>
                <w:sz w:val="24"/>
                <w:szCs w:val="24"/>
                <w:b/>
                <w:bCs/>
              </w:rPr>
              <w:t xml:space="preserve">מועד הביקור בנכס</w:t>
            </w:r>
          </w:p>
        </w:tc>
        <w:tc>
          <w:tcPr>
            <w:tcW w:type="dxa" w:w="6520"/>
          </w:tcPr>
          <w:p>
            <w:pPr>
              <w:bidi w:val="1"/>
              <w:jc w:val="right"/>
            </w:pPr>
            <w:r>
              <w:rPr>
                <w:rtl/>
                <w:rFonts w:ascii="Arial" w:hAnsi="Arial" w:cs="Arial"/>
                <w:sz w:val="24"/>
                <w:szCs w:val="24"/>
              </w:rPr>
              <w:t xml:space="preserve">01/05/2025</w:t>
            </w:r>
          </w:p>
        </w:tc>
      </w:tr>
      <w:tr>
        <w:tc>
          <w:tcPr>
            <w:tcW w:type="dxa" w:w="2551"/>
          </w:tcPr>
          <w:p>
            <w:pPr>
              <w:bidi w:val="1"/>
              <w:jc w:val="right"/>
            </w:pPr>
            <w:r>
              <w:rPr>
                <w:rtl/>
                <w:rFonts w:ascii="Arial" w:hAnsi="Arial" w:cs="Arial"/>
                <w:sz w:val="24"/>
                <w:szCs w:val="24"/>
                <w:b/>
                <w:bCs/>
              </w:rPr>
              <w:t xml:space="preserve">גוש</w:t>
            </w:r>
          </w:p>
        </w:tc>
        <w:tc>
          <w:tcPr>
            <w:tcW w:type="dxa" w:w="6520"/>
          </w:tcPr>
          <w:p>
            <w:pPr>
              <w:bidi w:val="1"/>
              <w:jc w:val="right"/>
            </w:pPr>
            <w:r>
              <w:rPr>
                <w:rtl/>
                <w:rFonts w:ascii="Arial" w:hAnsi="Arial" w:cs="Arial"/>
                <w:sz w:val="24"/>
                <w:szCs w:val="24"/>
              </w:rPr>
              <w:t xml:space="preserve">6130</w:t>
            </w:r>
          </w:p>
        </w:tc>
      </w:tr>
      <w:tr>
        <w:tc>
          <w:tcPr>
            <w:tcW w:type="dxa" w:w="2551"/>
          </w:tcPr>
          <w:p>
            <w:pPr>
              <w:bidi w:val="1"/>
              <w:jc w:val="right"/>
            </w:pPr>
            <w:r>
              <w:rPr>
                <w:rtl/>
                <w:rFonts w:ascii="Arial" w:hAnsi="Arial" w:cs="Arial"/>
                <w:sz w:val="24"/>
                <w:szCs w:val="24"/>
                <w:b/>
                <w:bCs/>
              </w:rPr>
              <w:t xml:space="preserve">חלקה</w:t>
            </w:r>
          </w:p>
        </w:tc>
        <w:tc>
          <w:tcPr>
            <w:tcW w:type="dxa" w:w="6520"/>
          </w:tcPr>
          <w:p>
            <w:pPr>
              <w:bidi w:val="1"/>
              <w:jc w:val="right"/>
            </w:pPr>
            <w:r>
              <w:rPr>
                <w:rtl/>
                <w:rFonts w:ascii="Arial" w:hAnsi="Arial" w:cs="Arial"/>
                <w:sz w:val="24"/>
                <w:szCs w:val="24"/>
              </w:rPr>
              <w:t xml:space="preserve">27</w:t>
            </w:r>
          </w:p>
        </w:tc>
      </w:tr>
      <w:tr>
        <w:tc>
          <w:tcPr>
            <w:tcW w:type="dxa" w:w="2551"/>
          </w:tcPr>
          <w:p>
            <w:pPr>
              <w:bidi w:val="1"/>
              <w:jc w:val="right"/>
            </w:pPr>
            <w:r>
              <w:rPr>
                <w:rtl/>
                <w:rFonts w:ascii="Arial" w:hAnsi="Arial" w:cs="Arial"/>
                <w:sz w:val="24"/>
                <w:szCs w:val="24"/>
                <w:b/>
                <w:bCs/>
              </w:rPr>
              <w:t xml:space="preserve">תת חלקה</w:t>
            </w:r>
          </w:p>
        </w:tc>
        <w:tc>
          <w:tcPr>
            <w:tcW w:type="dxa" w:w="6520"/>
          </w:tcPr>
          <w:p>
            <w:pPr>
              <w:bidi w:val="1"/>
              <w:jc w:val="right"/>
            </w:pPr>
            <w:r>
              <w:rPr>
                <w:rtl/>
                <w:rFonts w:ascii="Arial" w:hAnsi="Arial" w:cs="Arial"/>
                <w:sz w:val="24"/>
                <w:szCs w:val="24"/>
              </w:rPr>
              <w:t xml:space="preserve">8</w:t>
            </w:r>
          </w:p>
        </w:tc>
      </w:tr>
      <w:tr>
        <w:tc>
          <w:tcPr>
            <w:tcW w:type="dxa" w:w="2551"/>
          </w:tcPr>
          <w:p>
            <w:pPr>
              <w:bidi w:val="1"/>
              <w:jc w:val="right"/>
            </w:pPr>
            <w:r>
              <w:rPr>
                <w:rtl/>
                <w:rFonts w:ascii="Arial" w:hAnsi="Arial" w:cs="Arial"/>
                <w:sz w:val="24"/>
                <w:szCs w:val="24"/>
                <w:b/>
                <w:bCs/>
              </w:rPr>
              <w:t xml:space="preserve">הבניין בשלמות</w:t>
            </w:r>
          </w:p>
        </w:tc>
        <w:tc>
          <w:tcPr>
            <w:tcW w:type="dxa" w:w="6520"/>
          </w:tcPr>
          <w:p>
            <w:pPr>
              <w:bidi w:val="1"/>
              <w:jc w:val="right"/>
            </w:pPr>
            <w:r>
              <w:rPr>
                <w:rtl/>
                <w:rFonts w:ascii="Arial" w:hAnsi="Arial" w:cs="Arial"/>
                <w:sz w:val="24"/>
                <w:szCs w:val="24"/>
              </w:rPr>
              <w:t xml:space="preserve">בניין מגורים בן 8 קומות מעל קומת כניסה הכולל 32 יח"ד</w:t>
            </w:r>
          </w:p>
        </w:tc>
      </w:tr>
      <w:tr>
        <w:tc>
          <w:tcPr>
            <w:tcW w:type="dxa" w:w="2551"/>
          </w:tcPr>
          <w:p>
            <w:pPr>
              <w:bidi w:val="1"/>
              <w:jc w:val="right"/>
            </w:pPr>
            <w:r>
              <w:rPr>
                <w:rtl/>
                <w:rFonts w:ascii="Arial" w:hAnsi="Arial" w:cs="Arial"/>
                <w:sz w:val="24"/>
                <w:szCs w:val="24"/>
                <w:b/>
                <w:bCs/>
              </w:rPr>
              <w:t xml:space="preserve">הדירה שבנדון</w:t>
            </w:r>
          </w:p>
        </w:tc>
        <w:tc>
          <w:tcPr>
            <w:tcW w:type="dxa" w:w="6520"/>
          </w:tcPr>
          <w:p>
            <w:pPr>
              <w:bidi w:val="1"/>
              <w:jc w:val="right"/>
            </w:pPr>
            <w:r>
              <w:rPr>
                <w:rtl/>
                <w:rFonts w:ascii="Arial" w:hAnsi="Arial" w:cs="Arial"/>
                <w:sz w:val="24"/>
                <w:szCs w:val="24"/>
                <w:b/>
                <w:bCs/>
              </w:rPr>
              <w:t xml:space="preserve">דירת 4.0 חדרים הממוקמת בקומה ה-שלישית</w:t>
            </w:r>
          </w:p>
        </w:tc>
      </w:tr>
      <w:tr>
        <w:tc>
          <w:tcPr>
            <w:tcW w:type="dxa" w:w="2551"/>
          </w:tcPr>
          <w:p>
            <w:pPr>
              <w:bidi w:val="1"/>
              <w:jc w:val="right"/>
            </w:pPr>
            <w:r>
              <w:rPr>
                <w:rtl/>
                <w:rFonts w:ascii="Arial" w:hAnsi="Arial" w:cs="Arial"/>
                <w:sz w:val="24"/>
                <w:szCs w:val="24"/>
                <w:b/>
                <w:bCs/>
              </w:rPr>
              <w:t xml:space="preserve">שטח דירה רשום</w:t>
            </w:r>
          </w:p>
        </w:tc>
        <w:tc>
          <w:tcPr>
            <w:tcW w:type="dxa" w:w="6520"/>
          </w:tcPr>
          <w:p>
            <w:pPr>
              <w:bidi w:val="1"/>
              <w:jc w:val="right"/>
            </w:pPr>
            <w:r>
              <w:rPr>
                <w:rtl/>
                <w:rFonts w:ascii="Arial" w:hAnsi="Arial" w:cs="Arial"/>
                <w:sz w:val="24"/>
                <w:szCs w:val="24"/>
              </w:rPr>
              <w:t xml:space="preserve">94 מ"ר</w:t>
            </w:r>
          </w:p>
        </w:tc>
      </w:tr>
      <w:tr>
        <w:tc>
          <w:tcPr>
            <w:tcW w:type="dxa" w:w="2551"/>
          </w:tcPr>
          <w:p>
            <w:pPr>
              <w:bidi w:val="1"/>
              <w:jc w:val="right"/>
            </w:pPr>
            <w:r>
              <w:rPr>
                <w:rtl/>
                <w:rFonts w:ascii="Arial" w:hAnsi="Arial" w:cs="Arial"/>
                <w:sz w:val="24"/>
                <w:szCs w:val="24"/>
                <w:b/>
                <w:bCs/>
              </w:rPr>
              <w:t xml:space="preserve">שטח דירה בנוי</w:t>
            </w:r>
          </w:p>
        </w:tc>
        <w:tc>
          <w:tcPr>
            <w:tcW w:type="dxa" w:w="6520"/>
          </w:tcPr>
          <w:p>
            <w:pPr>
              <w:bidi w:val="1"/>
              <w:jc w:val="right"/>
            </w:pPr>
            <w:r>
              <w:rPr>
                <w:rtl/>
                <w:rFonts w:ascii="Arial" w:hAnsi="Arial" w:cs="Arial"/>
                <w:sz w:val="24"/>
                <w:szCs w:val="24"/>
              </w:rPr>
              <w:t xml:space="preserve">כ- 92 מ"ר</w:t>
            </w:r>
          </w:p>
        </w:tc>
      </w:tr>
      <w:tr>
        <w:tc>
          <w:tcPr>
            <w:tcW w:type="dxa" w:w="2551"/>
          </w:tcPr>
          <w:p>
            <w:pPr>
              <w:bidi w:val="1"/>
              <w:jc w:val="right"/>
            </w:pPr>
            <w:r>
              <w:rPr>
                <w:rtl/>
                <w:rFonts w:ascii="Arial" w:hAnsi="Arial" w:cs="Arial"/>
                <w:sz w:val="24"/>
                <w:szCs w:val="24"/>
                <w:b/>
                <w:bCs/>
              </w:rPr>
              <w:t xml:space="preserve">מיקום</w:t>
            </w:r>
          </w:p>
        </w:tc>
        <w:tc>
          <w:tcPr>
            <w:tcW w:type="dxa" w:w="6520"/>
          </w:tcPr>
          <w:p>
            <w:pPr>
              <w:bidi w:val="1"/>
              <w:jc w:val="right"/>
            </w:pPr>
            <w:r>
              <w:rPr>
                <w:rtl/>
                <w:rFonts w:ascii="Arial" w:hAnsi="Arial" w:cs="Arial"/>
                <w:sz w:val="24"/>
                <w:szCs w:val="24"/>
              </w:rPr>
              <w:t xml:space="preserve">רחוב ביאליק 15, רמת גן</w:t>
            </w:r>
          </w:p>
        </w:tc>
      </w:tr>
      <w:tr>
        <w:tc>
          <w:tcPr>
            <w:tcW w:type="dxa" w:w="2551"/>
          </w:tcPr>
          <w:p>
            <w:pPr>
              <w:bidi w:val="1"/>
              <w:jc w:val="right"/>
            </w:pPr>
            <w:r>
              <w:rPr>
                <w:rtl/>
                <w:rFonts w:ascii="Arial" w:hAnsi="Arial" w:cs="Arial"/>
                <w:sz w:val="24"/>
                <w:szCs w:val="24"/>
                <w:b/>
                <w:bCs/>
              </w:rPr>
              <w:t xml:space="preserve">זכויות</w:t>
            </w:r>
          </w:p>
        </w:tc>
        <w:tc>
          <w:tcPr>
            <w:tcW w:type="dxa" w:w="6520"/>
          </w:tcPr>
          <w:p>
            <w:pPr>
              <w:bidi w:val="1"/>
              <w:jc w:val="right"/>
            </w:pPr>
            <w:r>
              <w:rPr>
                <w:rtl/>
                <w:rFonts w:ascii="Arial" w:hAnsi="Arial" w:cs="Arial"/>
                <w:sz w:val="24"/>
                <w:szCs w:val="24"/>
              </w:rPr>
              <w:t xml:space="preserve">בעלות פרטית</w:t>
            </w:r>
          </w:p>
        </w:tc>
      </w:tr>
      <w:tr>
        <w:tc>
          <w:tcPr>
            <w:tcW w:type="dxa" w:w="2551"/>
          </w:tcPr>
          <w:p>
            <w:pPr>
              <w:bidi w:val="1"/>
              <w:jc w:val="right"/>
            </w:pPr>
            <w:r>
              <w:rPr>
                <w:rtl/>
                <w:rFonts w:ascii="Arial" w:hAnsi="Arial" w:cs="Arial"/>
                <w:sz w:val="24"/>
                <w:szCs w:val="24"/>
                <w:b/>
                <w:bCs/>
              </w:rPr>
              <w:t xml:space="preserve">הצמדות</w:t>
            </w:r>
          </w:p>
        </w:tc>
        <w:tc>
          <w:tcPr>
            <w:tcW w:type="dxa" w:w="6520"/>
          </w:tcPr>
          <w:p>
            <w:pPr>
              <w:bidi w:val="1"/>
              <w:jc w:val="right"/>
            </w:pPr>
            <w:r>
              <w:rPr>
                <w:rtl/>
                <w:rFonts w:ascii="Arial" w:hAnsi="Arial" w:cs="Arial"/>
                <w:sz w:val="24"/>
                <w:szCs w:val="24"/>
              </w:rPr>
              <w:t xml:space="preserve">חניה תת-קרקעית מס' 8, מחסן מס' 8 בקומת מרתף</w:t>
            </w:r>
          </w:p>
        </w:tc>
      </w:tr>
    </w:tbl>
    <w:p>
      <w:pPr>
        <w:bidi w:val="1"/>
        <w:spacing w:before="0" w:after="120"/>
        <w:jc w:val="right"/>
      </w:pPr>
    </w:p>
    <w:p>
      <w:r>
        <w:br w:type="page"/>
      </w:r>
    </w:p>
    <w:p>
      <w:pPr>
        <w:bidi w:val="1"/>
        <w:spacing w:before="200" w:after="120"/>
        <w:jc w:val="right"/>
      </w:pPr>
      <w:r>
        <w:rPr>
          <w:b/>
          <w:rtl/>
          <w:rFonts w:ascii="Arial" w:hAnsi="Arial" w:cs="Arial"/>
          <w:sz w:val="28"/>
          <w:szCs w:val="28"/>
          <w:b/>
          <w:bCs/>
        </w:rPr>
        <w:t>תיאור הנכס והסביבה</w:t>
      </w:r>
    </w:p>
    <w:p>
      <w:pPr>
        <w:bidi w:val="1"/>
        <w:spacing w:before="200" w:after="120"/>
        <w:jc w:val="right"/>
      </w:pPr>
      <w:r>
        <w:rPr>
          <w:b/>
          <w:rtl/>
          <w:rFonts w:ascii="Arial" w:hAnsi="Arial" w:cs="Arial"/>
          <w:sz w:val="26"/>
          <w:szCs w:val="26"/>
          <w:b/>
          <w:bCs/>
        </w:rPr>
        <w:t>תיאור הסביבה הכללית</w:t>
      </w:r>
    </w:p>
    <w:p>
      <w:pPr>
        <w:bidi w:val="1"/>
        <w:spacing w:before="0" w:after="120"/>
        <w:jc w:val="right"/>
      </w:pPr>
      <w:r>
        <w:rPr>
          <w:b w:val="0"/>
          <w:rtl/>
          <w:rFonts w:ascii="Arial" w:hAnsi="Arial" w:cs="Arial"/>
          <w:sz w:val="24"/>
          <w:szCs w:val="24"/>
        </w:rPr>
        <w:t>רמת גן הינה עיר בלב גוש דן, הגובלת בתל אביב ממערב, בבני ברק מצפון ובגבעתיים מדרום. העיר מונה כ-170,000 תושבים ומאופיינת בגידול שנתי מתון.</w:t>
      </w:r>
    </w:p>
    <w:p>
      <w:pPr>
        <w:bidi w:val="1"/>
        <w:spacing w:before="0" w:after="120"/>
        <w:jc w:val="right"/>
      </w:pPr>
      <w:r>
        <w:rPr>
          <w:b w:val="0"/>
          <w:rtl/>
          <w:rFonts w:ascii="Arial" w:hAnsi="Arial" w:cs="Arial"/>
          <w:sz w:val="24"/>
          <w:szCs w:val="24"/>
        </w:rPr>
        <w:t>שכונת נווה עופר ממוקמת בצפון-מערב רמת גן, בסמוך לגבול תל אביב. גבולות השכונה: מצפון רחוב ז'בוטינסקי, מדרום רחוב ביאליק, ממזרח רחוב ארלוזורוב וממערב רחוב הירקון. אופי הבנייה מעורב — בניינים ישנים ומגדלים חדשים. בשכונה פארק עירוני, בתי ספר ומרכז מסחרי שכונתי.</w:t>
      </w:r>
    </w:p>
    <w:p>
      <w:pPr>
        <w:bidi w:val="1"/>
        <w:spacing w:before="0" w:after="120"/>
        <w:jc w:val="right"/>
      </w:pPr>
      <w:r>
        <w:rPr>
          <w:b w:val="0"/>
          <w:rtl/>
          <w:rFonts w:ascii="Arial" w:hAnsi="Arial" w:cs="Arial"/>
          <w:sz w:val="24"/>
          <w:szCs w:val="24"/>
        </w:rPr>
        <w:t>נשוא חוות הדעת ממוקם ברחוב ביאליק, המהווה רחוב פנימי דו-סטרי.</w:t>
      </w:r>
    </w:p>
    <w:p>
      <w:pPr>
        <w:bidi w:val="1"/>
        <w:spacing w:before="0" w:after="120"/>
        <w:jc w:val="right"/>
      </w:pPr>
      <w:r>
        <w:rPr>
          <w:b w:val="0"/>
          <w:rtl/>
          <w:rFonts w:ascii="Arial" w:hAnsi="Arial" w:cs="Arial"/>
          <w:sz w:val="24"/>
          <w:szCs w:val="24"/>
        </w:rPr>
        <w:t>הפיתוח הסביבתי מלא וכולל כבישים, מדרכות, מים, חשמל, גינות ציבוריות ותאורת רחוב.</w:t>
      </w:r>
    </w:p>
    <w:p>
      <w:pPr>
        <w:bidi w:val="1"/>
        <w:spacing w:before="200" w:after="120"/>
        <w:jc w:val="right"/>
      </w:pPr>
      <w:r>
        <w:rPr>
          <w:b/>
          <w:rtl/>
          <w:rFonts w:ascii="Arial" w:hAnsi="Arial" w:cs="Arial"/>
          <w:sz w:val="26"/>
          <w:szCs w:val="26"/>
          <w:b/>
          <w:bCs/>
        </w:rPr>
        <w:t>תיאור החלקה</w:t>
      </w:r>
    </w:p>
    <w:p>
      <w:pPr>
        <w:bidi w:val="1"/>
        <w:spacing w:before="0" w:after="120"/>
        <w:jc w:val="right"/>
      </w:pPr>
      <w:r>
        <w:rPr>
          <w:b w:val="0"/>
          <w:rtl/>
          <w:rFonts w:ascii="Arial" w:hAnsi="Arial" w:cs="Arial"/>
          <w:sz w:val="24"/>
          <w:szCs w:val="24"/>
        </w:rPr>
        <w:t>חלקה 27 בגוש 6130, בה ממוקמת הדירה שבנדון, הינה בעלת טופוגרפיה מישורית, בצורה רגולרית, בשטח רשום של כ- 1240 מ"ר.</w:t>
      </w:r>
    </w:p>
    <w:tbl>
      <w:tblPr>
        <w:tblStyle w:val="TableGrid"/>
        <w:tblW w:type="auto" w:w="0"/>
        <w:tblLook w:firstColumn="1" w:firstRow="1" w:lastColumn="0" w:lastRow="0" w:noHBand="0" w:noVBand="1" w:val="04A0"/>
      </w:tblPr>
      <w:tblGrid>
        <w:gridCol w:w="4703"/>
        <w:gridCol w:w="4703"/>
      </w:tblGrid>
      <w:tr>
        <w:tc>
          <w:tcPr>
            <w:tcW w:type="dxa" w:w="1701"/>
          </w:tcPr>
          <w:p>
            <w:pPr>
              <w:bidi w:val="1"/>
              <w:jc w:val="right"/>
            </w:pPr>
            <w:r>
              <w:rPr>
                <w:rtl/>
                <w:rFonts w:ascii="Arial" w:hAnsi="Arial" w:cs="Arial"/>
                <w:sz w:val="24"/>
                <w:szCs w:val="24"/>
                <w:b/>
                <w:bCs/>
              </w:rPr>
              <w:t xml:space="preserve">מצפון</w:t>
            </w:r>
          </w:p>
        </w:tc>
        <w:tc>
          <w:tcPr>
            <w:tcW w:type="dxa" w:w="7370"/>
          </w:tcPr>
          <w:p>
            <w:pPr>
              <w:bidi w:val="1"/>
              <w:jc w:val="right"/>
            </w:pPr>
            <w:r>
              <w:rPr>
                <w:rtl/>
                <w:rFonts w:ascii="Arial" w:hAnsi="Arial" w:cs="Arial"/>
                <w:sz w:val="24"/>
                <w:szCs w:val="24"/>
              </w:rPr>
              <w:t xml:space="preserve">חלקה 26 — בניין מגורים</w:t>
            </w:r>
          </w:p>
        </w:tc>
      </w:tr>
      <w:tr>
        <w:tc>
          <w:tcPr>
            <w:tcW w:type="dxa" w:w="1701"/>
          </w:tcPr>
          <w:p>
            <w:pPr>
              <w:bidi w:val="1"/>
              <w:jc w:val="right"/>
            </w:pPr>
            <w:r>
              <w:rPr>
                <w:rtl/>
                <w:rFonts w:ascii="Arial" w:hAnsi="Arial" w:cs="Arial"/>
                <w:sz w:val="24"/>
                <w:szCs w:val="24"/>
                <w:b/>
                <w:bCs/>
              </w:rPr>
              <w:t xml:space="preserve">מדרום</w:t>
            </w:r>
          </w:p>
        </w:tc>
        <w:tc>
          <w:tcPr>
            <w:tcW w:type="dxa" w:w="7370"/>
          </w:tcPr>
          <w:p>
            <w:pPr>
              <w:bidi w:val="1"/>
              <w:jc w:val="right"/>
            </w:pPr>
            <w:r>
              <w:rPr>
                <w:rtl/>
                <w:rFonts w:ascii="Arial" w:hAnsi="Arial" w:cs="Arial"/>
                <w:sz w:val="24"/>
                <w:szCs w:val="24"/>
              </w:rPr>
              <w:t xml:space="preserve">רחוב ביאליק</w:t>
            </w:r>
          </w:p>
        </w:tc>
      </w:tr>
      <w:tr>
        <w:tc>
          <w:tcPr>
            <w:tcW w:type="dxa" w:w="1701"/>
          </w:tcPr>
          <w:p>
            <w:pPr>
              <w:bidi w:val="1"/>
              <w:jc w:val="right"/>
            </w:pPr>
            <w:r>
              <w:rPr>
                <w:rtl/>
                <w:rFonts w:ascii="Arial" w:hAnsi="Arial" w:cs="Arial"/>
                <w:sz w:val="24"/>
                <w:szCs w:val="24"/>
                <w:b/>
                <w:bCs/>
              </w:rPr>
              <w:t xml:space="preserve">ממזרח</w:t>
            </w:r>
          </w:p>
        </w:tc>
        <w:tc>
          <w:tcPr>
            <w:tcW w:type="dxa" w:w="7370"/>
          </w:tcPr>
          <w:p>
            <w:pPr>
              <w:bidi w:val="1"/>
              <w:jc w:val="right"/>
            </w:pPr>
            <w:r>
              <w:rPr>
                <w:rtl/>
                <w:rFonts w:ascii="Arial" w:hAnsi="Arial" w:cs="Arial"/>
                <w:sz w:val="24"/>
                <w:szCs w:val="24"/>
              </w:rPr>
              <w:t xml:space="preserve">חלקה 28 — בניין מגורים</w:t>
            </w:r>
          </w:p>
        </w:tc>
      </w:tr>
      <w:tr>
        <w:tc>
          <w:tcPr>
            <w:tcW w:type="dxa" w:w="1701"/>
          </w:tcPr>
          <w:p>
            <w:pPr>
              <w:bidi w:val="1"/>
              <w:jc w:val="right"/>
            </w:pPr>
            <w:r>
              <w:rPr>
                <w:rtl/>
                <w:rFonts w:ascii="Arial" w:hAnsi="Arial" w:cs="Arial"/>
                <w:sz w:val="24"/>
                <w:szCs w:val="24"/>
                <w:b/>
                <w:bCs/>
              </w:rPr>
              <w:t xml:space="preserve">ממערב</w:t>
            </w:r>
          </w:p>
        </w:tc>
        <w:tc>
          <w:tcPr>
            <w:tcW w:type="dxa" w:w="7370"/>
          </w:tcPr>
          <w:p>
            <w:pPr>
              <w:bidi w:val="1"/>
              <w:jc w:val="right"/>
            </w:pPr>
            <w:r>
              <w:rPr>
                <w:rtl/>
                <w:rFonts w:ascii="Arial" w:hAnsi="Arial" w:cs="Arial"/>
                <w:sz w:val="24"/>
                <w:szCs w:val="24"/>
              </w:rPr>
              <w:t xml:space="preserve">חלקה 25 — בניין מגורים</w:t>
            </w:r>
          </w:p>
        </w:tc>
      </w:tr>
    </w:tbl>
    <w:p>
      <w:pPr>
        <w:bidi w:val="1"/>
        <w:spacing w:before="0" w:after="120"/>
        <w:jc w:val="right"/>
      </w:pPr>
    </w:p>
    <w:p>
      <w:pPr>
        <w:bidi w:val="1"/>
        <w:spacing w:before="0" w:after="120"/>
        <w:jc w:val="right"/>
      </w:pPr>
      <w:r>
        <w:rPr>
          <w:b w:val="0"/>
          <w:rtl/>
          <w:rFonts w:ascii="Arial" w:hAnsi="Arial" w:cs="Arial"/>
          <w:sz w:val="24"/>
          <w:szCs w:val="24"/>
        </w:rPr>
        <w:t>על החלקה הוקם בניין מגורים אשר נבנה בשנת 1985. הבניין מונה 8 קומות מעל קומת כניסה ולובי וכולל 32 יחידות דיור. מצבו הפיזי של הבניין תקין.</w:t>
      </w:r>
    </w:p>
    <w:p>
      <w:pPr>
        <w:bidi w:val="1"/>
        <w:spacing w:before="200" w:after="120"/>
        <w:jc w:val="right"/>
      </w:pPr>
      <w:r>
        <w:rPr>
          <w:b/>
          <w:rtl/>
          <w:rFonts w:ascii="Arial" w:hAnsi="Arial" w:cs="Arial"/>
          <w:sz w:val="26"/>
          <w:szCs w:val="26"/>
          <w:b/>
          <w:bCs/>
        </w:rPr>
        <w:t>תיאור הדירה שבנדון</w:t>
      </w:r>
    </w:p>
    <w:p>
      <w:pPr>
        <w:bidi w:val="1"/>
        <w:spacing w:before="0" w:after="120"/>
        <w:jc w:val="right"/>
      </w:pPr>
      <w:r>
        <w:rPr>
          <w:b/>
          <w:rtl/>
          <w:rFonts w:ascii="Arial" w:hAnsi="Arial" w:cs="Arial"/>
          <w:sz w:val="24"/>
          <w:szCs w:val="24"/>
          <w:b/>
          <w:bCs/>
        </w:rPr>
        <w:t>נשוא חוות הדעת מהווה דירה בת 4.0 חדרים אשר ממוקמת בקומה ה-שלישית של הבניין ופונה לכיוון מזרח ומערב.</w:t>
      </w:r>
    </w:p>
    <w:p>
      <w:pPr>
        <w:bidi w:val="1"/>
        <w:spacing w:before="0" w:after="120"/>
        <w:jc w:val="right"/>
      </w:pPr>
      <w:r>
        <w:rPr>
          <w:b w:val="0"/>
          <w:rtl/>
          <w:rFonts w:ascii="Arial" w:hAnsi="Arial" w:cs="Arial"/>
          <w:sz w:val="24"/>
          <w:szCs w:val="24"/>
        </w:rPr>
        <w:t>שטח הדירה הבנוי הינו כ-92 מ"ר ומרפסת בשטח כ-12 מ"ר. לדירה צמודים: חניה תת-קרקעית מס' 8, מחסן מס' 8 בקומת מרתף. חלוקת הדירה: מבואה, סלון, מטבח, 3 חדרי שינה, חדר רחצה ושירותים. רמת הגמר טובה וכוללת ריצוף באריחי גרניט פורצלן בפורמט גדול, מזגנים עיליים, תריסים חשמליים, חלונות זכוכית עם פרופיל אלומיניום, דלת פלדלת, מטבח ארונות עץ ומשטח שיש, אריחי קרמיקה בחדר הרחצה ואסלת מונובלוק. גובה הפנים הינו כ-2.7 מ'. הדירה בנויה בהתאם להיתר בנייה. נכון למועד הביקור, הדירה מושכרת לשוכר רחל כהן בדמי שכירות חודשיים של 6,500 ₪.</w:t>
      </w:r>
    </w:p>
    <w:p>
      <w:r>
        <w:br w:type="page"/>
      </w:r>
    </w:p>
    <w:p>
      <w:pPr>
        <w:bidi w:val="1"/>
        <w:spacing w:before="200" w:after="120"/>
        <w:jc w:val="right"/>
      </w:pPr>
      <w:r>
        <w:rPr>
          <w:b/>
          <w:rtl/>
          <w:rFonts w:ascii="Arial" w:hAnsi="Arial" w:cs="Arial"/>
          <w:sz w:val="28"/>
          <w:szCs w:val="28"/>
          <w:b/>
          <w:bCs/>
        </w:rPr>
        <w:t>הרקע התכנוני</w:t>
      </w:r>
    </w:p>
    <w:p>
      <w:pPr>
        <w:bidi w:val="1"/>
        <w:spacing w:before="200" w:after="120"/>
        <w:jc w:val="right"/>
      </w:pPr>
      <w:r>
        <w:rPr>
          <w:b/>
          <w:rtl/>
          <w:rFonts w:ascii="Arial" w:hAnsi="Arial" w:cs="Arial"/>
          <w:sz w:val="26"/>
          <w:szCs w:val="26"/>
          <w:b/>
          <w:bCs/>
        </w:rPr>
        <w:t>א. תוכניות מתאר</w:t>
      </w:r>
    </w:p>
    <w:p>
      <w:pPr>
        <w:bidi w:val="1"/>
        <w:spacing w:before="0" w:after="120"/>
        <w:jc w:val="right"/>
      </w:pPr>
      <w:r>
        <w:rPr>
          <w:b w:val="0"/>
          <w:rtl/>
          <w:rFonts w:ascii="Arial" w:hAnsi="Arial" w:cs="Arial"/>
          <w:sz w:val="24"/>
          <w:szCs w:val="24"/>
        </w:rPr>
        <w:t>בהתאם לתוכנית מתאר מקומית מספר רג/2000, אשר פורסמה למתן תוקף בילקוט פרסומים מספר 5823 מתאריך 15/03/2008, החלקה שבנדון סווגה ביעוד "מגורים ג' מיוחד".</w:t>
      </w:r>
    </w:p>
    <w:p>
      <w:pPr>
        <w:bidi w:val="1"/>
        <w:spacing w:before="0" w:after="120"/>
        <w:jc w:val="right"/>
      </w:pPr>
      <w:r>
        <w:rPr>
          <w:b w:val="0"/>
          <w:rtl/>
          <w:rFonts w:ascii="Arial" w:hAnsi="Arial" w:cs="Arial"/>
          <w:sz w:val="24"/>
          <w:szCs w:val="24"/>
        </w:rPr>
        <w:t>הבניין ממוקם באזור המאפשר בנייה עד 8 קומות.</w:t>
      </w:r>
    </w:p>
    <w:p>
      <w:pPr>
        <w:bidi w:val="1"/>
        <w:spacing w:before="200" w:after="120"/>
        <w:jc w:val="right"/>
      </w:pPr>
      <w:r>
        <w:rPr>
          <w:b/>
          <w:rtl/>
          <w:rFonts w:ascii="Arial" w:hAnsi="Arial" w:cs="Arial"/>
          <w:sz w:val="26"/>
          <w:szCs w:val="26"/>
          <w:b/>
          <w:bCs/>
        </w:rPr>
        <w:t>ב. רישוי</w:t>
      </w:r>
    </w:p>
    <w:p>
      <w:pPr>
        <w:bidi w:val="1"/>
        <w:spacing w:before="0" w:after="120"/>
        <w:jc w:val="right"/>
      </w:pPr>
      <w:r>
        <w:rPr>
          <w:b w:val="0"/>
          <w:rtl/>
          <w:rFonts w:ascii="Arial" w:hAnsi="Arial" w:cs="Arial"/>
          <w:sz w:val="24"/>
          <w:szCs w:val="24"/>
        </w:rPr>
        <w:t>בתיק הבניין של הנכס שבנדון אותרו, בין היתר, המסמכים הרלוונטיים הבאים:</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היתר בנייה מספר 1985/4521 מתאריך 12/06/1985, אשר התיר בניין מגורים בן 8 קומות הכולל 32 יחידות דיור.</w:t>
      </w:r>
    </w:p>
    <w:p>
      <w:pPr>
        <w:bidi w:val="1"/>
        <w:spacing w:after="80"/>
        <w:jc w:val="right"/>
      </w:pPr>
      <w:r>
        <w:rPr>
          <w:b w:val="0"/>
          <w:rtl/>
          <w:rFonts w:ascii="Arial" w:hAnsi="Arial" w:cs="Arial"/>
          <w:sz w:val="24"/>
          <w:szCs w:val="24"/>
        </w:rPr>
        <w:t xml:space="preserve">• </w:t>
      </w:r>
      <w:r>
        <w:rPr>
          <w:b w:val="0"/>
          <w:rtl/>
          <w:rFonts w:ascii="Arial" w:hAnsi="Arial" w:cs="Arial"/>
          <w:sz w:val="24"/>
          <w:szCs w:val="24"/>
        </w:rPr>
        <w:t>תעודת גמר מתאריך 03/11/1987.</w:t>
      </w:r>
    </w:p>
    <w:p>
      <w:r>
        <w:br w:type="page"/>
      </w:r>
    </w:p>
    <w:p>
      <w:pPr>
        <w:bidi w:val="1"/>
        <w:spacing w:before="200" w:after="120"/>
        <w:jc w:val="right"/>
      </w:pPr>
      <w:r>
        <w:rPr>
          <w:b/>
          <w:rtl/>
          <w:rFonts w:ascii="Arial" w:hAnsi="Arial" w:cs="Arial"/>
          <w:sz w:val="28"/>
          <w:szCs w:val="28"/>
          <w:b/>
          <w:bCs/>
        </w:rPr>
        <w:t>המצב המשפטי</w:t>
      </w:r>
    </w:p>
    <w:p>
      <w:pPr>
        <w:bidi w:val="1"/>
        <w:spacing w:before="200" w:after="120"/>
        <w:jc w:val="right"/>
      </w:pPr>
      <w:r>
        <w:rPr>
          <w:b/>
          <w:rtl/>
          <w:rFonts w:ascii="Arial" w:hAnsi="Arial" w:cs="Arial"/>
          <w:sz w:val="26"/>
          <w:szCs w:val="26"/>
          <w:b/>
          <w:bCs/>
        </w:rPr>
        <w:t>א. נסח רישום מקרקעין</w:t>
      </w:r>
    </w:p>
    <w:p>
      <w:pPr>
        <w:bidi w:val="1"/>
        <w:spacing w:before="0" w:after="120"/>
        <w:jc w:val="right"/>
      </w:pPr>
      <w:r>
        <w:rPr>
          <w:b w:val="0"/>
          <w:rtl/>
          <w:rFonts w:ascii="Arial" w:hAnsi="Arial" w:cs="Arial"/>
          <w:sz w:val="24"/>
          <w:szCs w:val="24"/>
        </w:rPr>
        <w:t>על פי העתק רישום מפנקס הבתים המשותפים, אשר הופק על ידי הח"מ בתאריך 01/05/2025 באמצעות האינטרנט, עולים, בין היתר, הפרטים הבאים:</w:t>
      </w:r>
    </w:p>
    <w:tbl>
      <w:tblPr>
        <w:tblStyle w:val="TableGrid"/>
        <w:tblW w:type="auto" w:w="0"/>
        <w:tblLook w:firstColumn="1" w:firstRow="1" w:lastColumn="0" w:lastRow="0" w:noHBand="0" w:noVBand="1" w:val="04A0"/>
      </w:tblPr>
      <w:tblGrid>
        <w:gridCol w:w="4703"/>
        <w:gridCol w:w="4703"/>
      </w:tblGrid>
      <w:tr>
        <w:tc>
          <w:tcPr>
            <w:tcW w:type="dxa" w:w="2551"/>
          </w:tcPr>
          <w:p>
            <w:pPr>
              <w:bidi w:val="1"/>
              <w:jc w:val="right"/>
            </w:pPr>
            <w:r>
              <w:rPr>
                <w:rtl/>
                <w:rFonts w:ascii="Arial" w:hAnsi="Arial" w:cs="Arial"/>
                <w:sz w:val="24"/>
                <w:szCs w:val="24"/>
                <w:b/>
                <w:bCs/>
              </w:rPr>
              <w:t xml:space="preserve">גוש</w:t>
            </w:r>
          </w:p>
        </w:tc>
        <w:tc>
          <w:tcPr>
            <w:tcW w:type="dxa" w:w="6520"/>
          </w:tcPr>
          <w:p>
            <w:pPr>
              <w:bidi w:val="1"/>
              <w:jc w:val="right"/>
            </w:pPr>
            <w:r>
              <w:rPr>
                <w:rtl/>
                <w:rFonts w:ascii="Arial" w:hAnsi="Arial" w:cs="Arial"/>
                <w:sz w:val="24"/>
                <w:szCs w:val="24"/>
              </w:rPr>
              <w:t xml:space="preserve">6130</w:t>
            </w:r>
          </w:p>
        </w:tc>
      </w:tr>
      <w:tr>
        <w:tc>
          <w:tcPr>
            <w:tcW w:type="dxa" w:w="2551"/>
          </w:tcPr>
          <w:p>
            <w:pPr>
              <w:bidi w:val="1"/>
              <w:jc w:val="right"/>
            </w:pPr>
            <w:r>
              <w:rPr>
                <w:rtl/>
                <w:rFonts w:ascii="Arial" w:hAnsi="Arial" w:cs="Arial"/>
                <w:sz w:val="24"/>
                <w:szCs w:val="24"/>
                <w:b/>
                <w:bCs/>
              </w:rPr>
              <w:t xml:space="preserve">חלקה</w:t>
            </w:r>
          </w:p>
        </w:tc>
        <w:tc>
          <w:tcPr>
            <w:tcW w:type="dxa" w:w="6520"/>
          </w:tcPr>
          <w:p>
            <w:pPr>
              <w:bidi w:val="1"/>
              <w:jc w:val="right"/>
            </w:pPr>
            <w:r>
              <w:rPr>
                <w:rtl/>
                <w:rFonts w:ascii="Arial" w:hAnsi="Arial" w:cs="Arial"/>
                <w:sz w:val="24"/>
                <w:szCs w:val="24"/>
              </w:rPr>
              <w:t xml:space="preserve">27</w:t>
            </w:r>
          </w:p>
        </w:tc>
      </w:tr>
      <w:tr>
        <w:tc>
          <w:tcPr>
            <w:tcW w:type="dxa" w:w="2551"/>
          </w:tcPr>
          <w:p>
            <w:pPr>
              <w:bidi w:val="1"/>
              <w:jc w:val="right"/>
            </w:pPr>
            <w:r>
              <w:rPr>
                <w:rtl/>
                <w:rFonts w:ascii="Arial" w:hAnsi="Arial" w:cs="Arial"/>
                <w:sz w:val="24"/>
                <w:szCs w:val="24"/>
                <w:b/>
                <w:bCs/>
              </w:rPr>
              <w:t xml:space="preserve">תת חלקה</w:t>
            </w:r>
          </w:p>
        </w:tc>
        <w:tc>
          <w:tcPr>
            <w:tcW w:type="dxa" w:w="6520"/>
          </w:tcPr>
          <w:p>
            <w:pPr>
              <w:bidi w:val="1"/>
              <w:jc w:val="right"/>
            </w:pPr>
            <w:r>
              <w:rPr>
                <w:rtl/>
                <w:rFonts w:ascii="Arial" w:hAnsi="Arial" w:cs="Arial"/>
                <w:sz w:val="24"/>
                <w:szCs w:val="24"/>
              </w:rPr>
              <w:t xml:space="preserve">8</w:t>
            </w:r>
          </w:p>
        </w:tc>
      </w:tr>
      <w:tr>
        <w:tc>
          <w:tcPr>
            <w:tcW w:type="dxa" w:w="2551"/>
          </w:tcPr>
          <w:p>
            <w:pPr>
              <w:bidi w:val="1"/>
              <w:jc w:val="right"/>
            </w:pPr>
            <w:r>
              <w:rPr>
                <w:rtl/>
                <w:rFonts w:ascii="Arial" w:hAnsi="Arial" w:cs="Arial"/>
                <w:sz w:val="24"/>
                <w:szCs w:val="24"/>
                <w:b/>
                <w:bCs/>
              </w:rPr>
              <w:t xml:space="preserve">תיאור קומה</w:t>
            </w:r>
          </w:p>
        </w:tc>
        <w:tc>
          <w:tcPr>
            <w:tcW w:type="dxa" w:w="6520"/>
          </w:tcPr>
          <w:p>
            <w:pPr>
              <w:bidi w:val="1"/>
              <w:jc w:val="right"/>
            </w:pPr>
            <w:r>
              <w:rPr>
                <w:rtl/>
                <w:rFonts w:ascii="Arial" w:hAnsi="Arial" w:cs="Arial"/>
                <w:sz w:val="24"/>
                <w:szCs w:val="24"/>
              </w:rPr>
              <w:t xml:space="preserve">קומה 3</w:t>
            </w:r>
          </w:p>
        </w:tc>
      </w:tr>
      <w:tr>
        <w:tc>
          <w:tcPr>
            <w:tcW w:type="dxa" w:w="2551"/>
          </w:tcPr>
          <w:p>
            <w:pPr>
              <w:bidi w:val="1"/>
              <w:jc w:val="right"/>
            </w:pPr>
            <w:r>
              <w:rPr>
                <w:rtl/>
                <w:rFonts w:ascii="Arial" w:hAnsi="Arial" w:cs="Arial"/>
                <w:sz w:val="24"/>
                <w:szCs w:val="24"/>
                <w:b/>
                <w:bCs/>
              </w:rPr>
              <w:t xml:space="preserve">שטח</w:t>
            </w:r>
          </w:p>
        </w:tc>
        <w:tc>
          <w:tcPr>
            <w:tcW w:type="dxa" w:w="6520"/>
          </w:tcPr>
          <w:p>
            <w:pPr>
              <w:bidi w:val="1"/>
              <w:jc w:val="right"/>
            </w:pPr>
            <w:r>
              <w:rPr>
                <w:rtl/>
                <w:rFonts w:ascii="Arial" w:hAnsi="Arial" w:cs="Arial"/>
                <w:sz w:val="24"/>
                <w:szCs w:val="24"/>
              </w:rPr>
              <w:t xml:space="preserve">94 מ"ר</w:t>
            </w:r>
          </w:p>
        </w:tc>
      </w:tr>
      <w:tr>
        <w:tc>
          <w:tcPr>
            <w:tcW w:type="dxa" w:w="2551"/>
          </w:tcPr>
          <w:p>
            <w:pPr>
              <w:bidi w:val="1"/>
              <w:jc w:val="right"/>
            </w:pPr>
            <w:r>
              <w:rPr>
                <w:rtl/>
                <w:rFonts w:ascii="Arial" w:hAnsi="Arial" w:cs="Arial"/>
                <w:sz w:val="24"/>
                <w:szCs w:val="24"/>
                <w:b/>
                <w:bCs/>
              </w:rPr>
              <w:t xml:space="preserve">החלק ברכוש המשותף</w:t>
            </w:r>
          </w:p>
        </w:tc>
        <w:tc>
          <w:tcPr>
            <w:tcW w:type="dxa" w:w="6520"/>
          </w:tcPr>
          <w:p>
            <w:pPr>
              <w:bidi w:val="1"/>
              <w:jc w:val="right"/>
            </w:pPr>
            <w:r>
              <w:rPr>
                <w:rtl/>
                <w:rFonts w:ascii="Arial" w:hAnsi="Arial" w:cs="Arial"/>
                <w:sz w:val="24"/>
                <w:szCs w:val="24"/>
              </w:rPr>
              <w:t xml:space="preserve">2847/100000</w:t>
            </w:r>
          </w:p>
        </w:tc>
      </w:tr>
      <w:tr>
        <w:tc>
          <w:tcPr>
            <w:tcW w:type="dxa" w:w="2551"/>
          </w:tcPr>
          <w:p>
            <w:pPr>
              <w:bidi w:val="1"/>
              <w:jc w:val="right"/>
            </w:pPr>
            <w:r>
              <w:rPr>
                <w:rtl/>
                <w:rFonts w:ascii="Arial" w:hAnsi="Arial" w:cs="Arial"/>
                <w:sz w:val="24"/>
                <w:szCs w:val="24"/>
                <w:b/>
                <w:bCs/>
              </w:rPr>
              <w:t xml:space="preserve">בעלויות</w:t>
            </w:r>
          </w:p>
        </w:tc>
        <w:tc>
          <w:tcPr>
            <w:tcW w:type="dxa" w:w="6520"/>
          </w:tcPr>
          <w:p>
            <w:pPr>
              <w:bidi w:val="1"/>
              <w:jc w:val="right"/>
            </w:pPr>
            <w:r>
              <w:rPr>
                <w:rtl/>
                <w:rFonts w:ascii="Arial" w:hAnsi="Arial" w:cs="Arial"/>
                <w:sz w:val="24"/>
                <w:szCs w:val="24"/>
              </w:rPr>
              <w:t xml:space="preserve">ישראל ישראלי (1/1)</w:t>
            </w:r>
          </w:p>
        </w:tc>
      </w:tr>
      <w:tr>
        <w:tc>
          <w:tcPr>
            <w:tcW w:type="dxa" w:w="2551"/>
          </w:tcPr>
          <w:p>
            <w:pPr>
              <w:bidi w:val="1"/>
              <w:jc w:val="right"/>
            </w:pPr>
            <w:r>
              <w:rPr>
                <w:rtl/>
                <w:rFonts w:ascii="Arial" w:hAnsi="Arial" w:cs="Arial"/>
                <w:sz w:val="24"/>
                <w:szCs w:val="24"/>
                <w:b/>
                <w:bCs/>
              </w:rPr>
              <w:t xml:space="preserve">הערות</w:t>
            </w:r>
          </w:p>
        </w:tc>
        <w:tc>
          <w:tcPr>
            <w:tcW w:type="dxa" w:w="6520"/>
          </w:tcPr>
          <w:p>
            <w:pPr>
              <w:bidi w:val="1"/>
              <w:jc w:val="right"/>
            </w:pPr>
            <w:r>
              <w:rPr>
                <w:rtl/>
                <w:rFonts w:ascii="Arial" w:hAnsi="Arial" w:cs="Arial"/>
                <w:sz w:val="24"/>
                <w:szCs w:val="24"/>
              </w:rPr>
              <w:t xml:space="preserve">לא נרשמו הערות</w:t>
            </w:r>
          </w:p>
        </w:tc>
      </w:tr>
    </w:tbl>
    <w:p>
      <w:pPr>
        <w:bidi w:val="1"/>
        <w:spacing w:before="0" w:after="120"/>
        <w:jc w:val="right"/>
      </w:pPr>
    </w:p>
    <w:p>
      <w:pPr>
        <w:bidi w:val="1"/>
        <w:spacing w:before="200" w:after="120"/>
        <w:jc w:val="right"/>
      </w:pPr>
      <w:r>
        <w:rPr>
          <w:b/>
          <w:rtl/>
          <w:rFonts w:ascii="Arial" w:hAnsi="Arial" w:cs="Arial"/>
          <w:sz w:val="26"/>
          <w:szCs w:val="26"/>
          <w:b/>
          <w:bCs/>
        </w:rPr>
        <w:t>ב. תשריט בית משותף</w:t>
      </w:r>
    </w:p>
    <w:p>
      <w:pPr>
        <w:bidi w:val="1"/>
        <w:spacing w:before="0" w:after="120"/>
        <w:jc w:val="right"/>
      </w:pPr>
      <w:r>
        <w:rPr>
          <w:b w:val="0"/>
          <w:rtl/>
          <w:rFonts w:ascii="Arial" w:hAnsi="Arial" w:cs="Arial"/>
          <w:sz w:val="24"/>
          <w:szCs w:val="24"/>
        </w:rPr>
        <w:t>להלן תכנית קומה 3 מתוך תשריט הבית המשותף: [הכנס תמונה]</w:t>
      </w:r>
    </w:p>
    <w:p>
      <w:pPr>
        <w:bidi w:val="1"/>
        <w:spacing w:before="200" w:after="120"/>
        <w:jc w:val="right"/>
      </w:pPr>
      <w:r>
        <w:rPr>
          <w:b/>
          <w:rtl/>
          <w:rFonts w:ascii="Arial" w:hAnsi="Arial" w:cs="Arial"/>
          <w:sz w:val="26"/>
          <w:szCs w:val="26"/>
          <w:b/>
          <w:bCs/>
        </w:rPr>
        <w:t>ג. הסכם שכירות</w:t>
      </w:r>
    </w:p>
    <w:p>
      <w:pPr>
        <w:bidi w:val="1"/>
        <w:spacing w:before="0" w:after="120"/>
        <w:jc w:val="right"/>
      </w:pPr>
      <w:r>
        <w:rPr>
          <w:b w:val="0"/>
          <w:rtl/>
          <w:rFonts w:ascii="Arial" w:hAnsi="Arial" w:cs="Arial"/>
          <w:sz w:val="24"/>
          <w:szCs w:val="24"/>
        </w:rPr>
        <w:t>בהתאם להסכם שכירות בלתי מוגנת אשר נחתם בתאריך 01/10/2024, בין ישראל ישראלי לבין רחל כהן, עולים הפרטים הבאים:</w:t>
      </w:r>
    </w:p>
    <w:tbl>
      <w:tblPr>
        <w:tblStyle w:val="TableGrid"/>
        <w:tblW w:type="auto" w:w="0"/>
        <w:tblLook w:firstColumn="1" w:firstRow="1" w:lastColumn="0" w:lastRow="0" w:noHBand="0" w:noVBand="1" w:val="04A0"/>
      </w:tblPr>
      <w:tblGrid>
        <w:gridCol w:w="4703"/>
        <w:gridCol w:w="4703"/>
      </w:tblGrid>
      <w:tr>
        <w:tc>
          <w:tcPr>
            <w:tcW w:type="dxa" w:w="2551"/>
          </w:tcPr>
          <w:p>
            <w:pPr>
              <w:bidi w:val="1"/>
              <w:jc w:val="right"/>
            </w:pPr>
            <w:r>
              <w:rPr>
                <w:rtl/>
                <w:rFonts w:ascii="Arial" w:hAnsi="Arial" w:cs="Arial"/>
                <w:sz w:val="24"/>
                <w:szCs w:val="24"/>
                <w:b/>
                <w:bCs/>
              </w:rPr>
              <w:t xml:space="preserve">המושכר</w:t>
            </w:r>
          </w:p>
        </w:tc>
        <w:tc>
          <w:tcPr>
            <w:tcW w:type="dxa" w:w="6520"/>
          </w:tcPr>
          <w:p>
            <w:pPr>
              <w:bidi w:val="1"/>
              <w:jc w:val="right"/>
            </w:pPr>
            <w:r>
              <w:rPr>
                <w:rtl/>
                <w:rFonts w:ascii="Arial" w:hAnsi="Arial" w:cs="Arial"/>
                <w:sz w:val="24"/>
                <w:szCs w:val="24"/>
              </w:rPr>
              <w:t xml:space="preserve">רחוב ביאליק 15, רמת גן</w:t>
            </w:r>
          </w:p>
        </w:tc>
      </w:tr>
      <w:tr>
        <w:tc>
          <w:tcPr>
            <w:tcW w:type="dxa" w:w="2551"/>
          </w:tcPr>
          <w:p>
            <w:pPr>
              <w:bidi w:val="1"/>
              <w:jc w:val="right"/>
            </w:pPr>
            <w:r>
              <w:rPr>
                <w:rtl/>
                <w:rFonts w:ascii="Arial" w:hAnsi="Arial" w:cs="Arial"/>
                <w:sz w:val="24"/>
                <w:szCs w:val="24"/>
                <w:b/>
                <w:bCs/>
              </w:rPr>
              <w:t xml:space="preserve">תקופת השכירות</w:t>
            </w:r>
          </w:p>
        </w:tc>
        <w:tc>
          <w:tcPr>
            <w:tcW w:type="dxa" w:w="6520"/>
          </w:tcPr>
          <w:p>
            <w:pPr>
              <w:bidi w:val="1"/>
              <w:jc w:val="right"/>
            </w:pPr>
            <w:r>
              <w:rPr>
                <w:rtl/>
                <w:rFonts w:ascii="Arial" w:hAnsi="Arial" w:cs="Arial"/>
                <w:sz w:val="24"/>
                <w:szCs w:val="24"/>
              </w:rPr>
              <w:t xml:space="preserve">01/10/2024 — 30/09/2025</w:t>
            </w:r>
          </w:p>
        </w:tc>
      </w:tr>
      <w:tr>
        <w:tc>
          <w:tcPr>
            <w:tcW w:type="dxa" w:w="2551"/>
          </w:tcPr>
          <w:p>
            <w:pPr>
              <w:bidi w:val="1"/>
              <w:jc w:val="right"/>
            </w:pPr>
            <w:r>
              <w:rPr>
                <w:rtl/>
                <w:rFonts w:ascii="Arial" w:hAnsi="Arial" w:cs="Arial"/>
                <w:sz w:val="24"/>
                <w:szCs w:val="24"/>
                <w:b/>
                <w:bCs/>
              </w:rPr>
              <w:t xml:space="preserve">דמי השכירות</w:t>
            </w:r>
          </w:p>
        </w:tc>
        <w:tc>
          <w:tcPr>
            <w:tcW w:type="dxa" w:w="6520"/>
          </w:tcPr>
          <w:p>
            <w:pPr>
              <w:bidi w:val="1"/>
              <w:jc w:val="right"/>
            </w:pPr>
            <w:r>
              <w:rPr>
                <w:rtl/>
                <w:rFonts w:ascii="Arial" w:hAnsi="Arial" w:cs="Arial"/>
                <w:sz w:val="24"/>
                <w:szCs w:val="24"/>
              </w:rPr>
              <w:t xml:space="preserve">6,500 ₪ לחודש</w:t>
            </w:r>
          </w:p>
        </w:tc>
      </w:tr>
    </w:tbl>
    <w:p>
      <w:r>
        <w:br w:type="page"/>
      </w:r>
    </w:p>
    <w:p>
      <w:pPr>
        <w:bidi w:val="1"/>
        <w:spacing w:before="200" w:after="120"/>
        <w:jc w:val="right"/>
      </w:pPr>
      <w:r>
        <w:rPr>
          <w:b/>
          <w:rtl/>
          <w:rFonts w:ascii="Arial" w:hAnsi="Arial" w:cs="Arial"/>
          <w:sz w:val="28"/>
          <w:szCs w:val="28"/>
          <w:b/>
          <w:bCs/>
        </w:rPr>
        <w:t>עקרונות ושיקולים, נתוני השוואה ושומה</w:t>
      </w:r>
    </w:p>
    <w:p>
      <w:pPr>
        <w:bidi w:val="1"/>
        <w:spacing w:before="200" w:after="120"/>
        <w:jc w:val="right"/>
      </w:pPr>
      <w:r>
        <w:rPr>
          <w:b/>
          <w:rtl/>
          <w:rFonts w:ascii="Arial" w:hAnsi="Arial" w:cs="Arial"/>
          <w:sz w:val="26"/>
          <w:szCs w:val="26"/>
          <w:b/>
          <w:bCs/>
        </w:rPr>
        <w:t>א. עקרונות, גורמים ושיקולים</w:t>
      </w:r>
    </w:p>
    <w:p>
      <w:pPr>
        <w:bidi w:val="1"/>
        <w:spacing w:before="0" w:after="120"/>
        <w:jc w:val="right"/>
      </w:pPr>
      <w:r>
        <w:rPr>
          <w:b/>
          <w:rtl/>
          <w:rFonts w:ascii="Arial" w:hAnsi="Arial" w:cs="Arial"/>
          <w:sz w:val="24"/>
          <w:szCs w:val="24"/>
          <w:b/>
          <w:bCs/>
        </w:rPr>
        <w:t>1. כללי</w:t>
      </w:r>
    </w:p>
    <w:p>
      <w:pPr>
        <w:bidi w:val="1"/>
        <w:spacing w:after="80"/>
        <w:jc w:val="right"/>
      </w:pPr>
      <w:r>
        <w:rPr>
          <w:b w:val="0"/>
          <w:rtl/>
          <w:rFonts w:ascii="Arial" w:hAnsi="Arial" w:cs="Arial"/>
          <w:sz w:val="24"/>
          <w:szCs w:val="24"/>
        </w:rPr>
        <w:t xml:space="preserve">• </w:t>
      </w:r>
      <w:r>
        <w:rPr>
          <w:b w:val="0"/>
          <w:rtl/>
          <w:rFonts w:ascii="Arial" w:hAnsi="Arial" w:cs="Arial"/>
          <w:sz w:val="24"/>
          <w:szCs w:val="24"/>
        </w:rPr>
        <w:t>מיקום הנכס: רחוב ביאליק 15, רמת גן.</w:t>
      </w:r>
    </w:p>
    <w:p>
      <w:pPr>
        <w:bidi w:val="1"/>
        <w:spacing w:after="80"/>
        <w:jc w:val="right"/>
      </w:pPr>
      <w:r>
        <w:rPr>
          <w:b w:val="0"/>
          <w:rtl/>
          <w:rFonts w:ascii="Arial" w:hAnsi="Arial" w:cs="Arial"/>
          <w:sz w:val="24"/>
          <w:szCs w:val="24"/>
        </w:rPr>
        <w:t xml:space="preserve">• </w:t>
      </w:r>
      <w:r>
        <w:rPr>
          <w:b w:val="0"/>
          <w:rtl/>
          <w:rFonts w:ascii="Arial" w:hAnsi="Arial" w:cs="Arial"/>
          <w:sz w:val="24"/>
          <w:szCs w:val="24"/>
        </w:rPr>
        <w:t>אופי הסביבה: נווה עופר ברמת גן.</w:t>
      </w:r>
    </w:p>
    <w:p>
      <w:pPr>
        <w:bidi w:val="1"/>
        <w:spacing w:after="80"/>
        <w:jc w:val="right"/>
      </w:pPr>
      <w:r>
        <w:rPr>
          <w:b w:val="0"/>
          <w:rtl/>
          <w:rFonts w:ascii="Arial" w:hAnsi="Arial" w:cs="Arial"/>
          <w:sz w:val="24"/>
          <w:szCs w:val="24"/>
        </w:rPr>
        <w:t xml:space="preserve">• </w:t>
      </w:r>
      <w:r>
        <w:rPr>
          <w:b w:val="0"/>
          <w:rtl/>
          <w:rFonts w:ascii="Arial" w:hAnsi="Arial" w:cs="Arial"/>
          <w:sz w:val="24"/>
          <w:szCs w:val="24"/>
        </w:rPr>
        <w:t>שנת בניית הבניין: 1985. מספר יחידות הדיור בבניין: 32.</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ממוקמת בקומה ה-שלישית, בת 4.0 חדרים, פונה לכיוון מזרח ומערב.</w:t>
      </w:r>
    </w:p>
    <w:p>
      <w:pPr>
        <w:bidi w:val="1"/>
        <w:spacing w:after="80"/>
        <w:jc w:val="right"/>
      </w:pPr>
      <w:r>
        <w:rPr>
          <w:b w:val="0"/>
          <w:rtl/>
          <w:rFonts w:ascii="Arial" w:hAnsi="Arial" w:cs="Arial"/>
          <w:sz w:val="24"/>
          <w:szCs w:val="24"/>
        </w:rPr>
        <w:t xml:space="preserve">• </w:t>
      </w:r>
      <w:r>
        <w:rPr>
          <w:b w:val="0"/>
          <w:rtl/>
          <w:rFonts w:ascii="Arial" w:hAnsi="Arial" w:cs="Arial"/>
          <w:sz w:val="24"/>
          <w:szCs w:val="24"/>
        </w:rPr>
        <w:t>שטח הדירה הבנוי הינו כ-92 מ"ר, ומרפסת בשטח כ-12 מ"ר.</w:t>
      </w:r>
    </w:p>
    <w:p>
      <w:pPr>
        <w:bidi w:val="1"/>
        <w:spacing w:after="80"/>
        <w:jc w:val="right"/>
      </w:pPr>
      <w:r>
        <w:rPr>
          <w:b w:val="0"/>
          <w:rtl/>
          <w:rFonts w:ascii="Arial" w:hAnsi="Arial" w:cs="Arial"/>
          <w:sz w:val="24"/>
          <w:szCs w:val="24"/>
        </w:rPr>
        <w:t xml:space="preserve">• </w:t>
      </w:r>
      <w:r>
        <w:rPr>
          <w:b w:val="0"/>
          <w:rtl/>
          <w:rFonts w:ascii="Arial" w:hAnsi="Arial" w:cs="Arial"/>
          <w:sz w:val="24"/>
          <w:szCs w:val="24"/>
        </w:rPr>
        <w:t>גובה פנים: כ-2.7 מ'.</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בנויה בהתאם להיתר — מצב היתר.</w:t>
      </w:r>
    </w:p>
    <w:p>
      <w:pPr>
        <w:bidi w:val="1"/>
        <w:spacing w:after="80"/>
        <w:jc w:val="right"/>
      </w:pPr>
      <w:r>
        <w:rPr>
          <w:b w:val="0"/>
          <w:rtl/>
          <w:rFonts w:ascii="Arial" w:hAnsi="Arial" w:cs="Arial"/>
          <w:sz w:val="24"/>
          <w:szCs w:val="24"/>
        </w:rPr>
        <w:t xml:space="preserve">• </w:t>
      </w:r>
      <w:r>
        <w:rPr>
          <w:b w:val="0"/>
          <w:rtl/>
          <w:rFonts w:ascii="Arial" w:hAnsi="Arial" w:cs="Arial"/>
          <w:sz w:val="24"/>
          <w:szCs w:val="24"/>
        </w:rPr>
        <w:t>רמת גמר: טובה.</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הצמדות: חניה, מחסן.</w:t>
      </w:r>
    </w:p>
    <w:p>
      <w:pPr>
        <w:bidi w:val="1"/>
        <w:spacing w:before="120" w:after="120"/>
        <w:jc w:val="right"/>
      </w:pPr>
      <w:r>
        <w:rPr>
          <w:b/>
          <w:rtl/>
          <w:rFonts w:ascii="Arial" w:hAnsi="Arial" w:cs="Arial"/>
          <w:sz w:val="24"/>
          <w:szCs w:val="24"/>
          <w:b/>
          <w:bCs/>
        </w:rPr>
        <w:t>2. תכנון ורישוי</w:t>
      </w:r>
    </w:p>
    <w:p>
      <w:pPr>
        <w:bidi w:val="1"/>
        <w:spacing w:after="80"/>
        <w:jc w:val="right"/>
      </w:pPr>
      <w:r>
        <w:rPr>
          <w:b w:val="0"/>
          <w:rtl/>
          <w:rFonts w:ascii="Arial" w:hAnsi="Arial" w:cs="Arial"/>
          <w:sz w:val="24"/>
          <w:szCs w:val="24"/>
        </w:rPr>
        <w:t xml:space="preserve">• </w:t>
      </w:r>
      <w:r>
        <w:rPr>
          <w:b w:val="0"/>
          <w:rtl/>
          <w:rFonts w:ascii="Arial" w:hAnsi="Arial" w:cs="Arial"/>
          <w:sz w:val="24"/>
          <w:szCs w:val="24"/>
        </w:rPr>
        <w:t>בהתאם לתכניות בניין עיר שבתוקף החלקה מסווגת ביעוד 'מגורים ג' מיוחד'.</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שבנדון בנויה בהתאם להיתר בנייה משנת 1985.</w:t>
      </w:r>
    </w:p>
    <w:p>
      <w:pPr>
        <w:bidi w:val="1"/>
        <w:spacing w:after="80"/>
        <w:jc w:val="right"/>
      </w:pPr>
      <w:r>
        <w:rPr>
          <w:b w:val="0"/>
          <w:rtl/>
          <w:rFonts w:ascii="Arial" w:hAnsi="Arial" w:cs="Arial"/>
          <w:sz w:val="24"/>
          <w:szCs w:val="24"/>
        </w:rPr>
        <w:t xml:space="preserve">• </w:t>
      </w:r>
      <w:r>
        <w:rPr>
          <w:b w:val="0"/>
          <w:rtl/>
          <w:rFonts w:ascii="Arial" w:hAnsi="Arial" w:cs="Arial"/>
          <w:sz w:val="24"/>
          <w:szCs w:val="24"/>
        </w:rPr>
        <w:t>תעודת גמר לבניין ניתנה בשנת 1987.</w:t>
      </w:r>
    </w:p>
    <w:p>
      <w:pPr>
        <w:bidi w:val="1"/>
        <w:spacing w:before="120" w:after="120"/>
        <w:jc w:val="right"/>
      </w:pPr>
      <w:r>
        <w:rPr>
          <w:b/>
          <w:rtl/>
          <w:rFonts w:ascii="Arial" w:hAnsi="Arial" w:cs="Arial"/>
          <w:sz w:val="24"/>
          <w:szCs w:val="24"/>
          <w:b/>
          <w:bCs/>
        </w:rPr>
        <w:t>3. מצב משפטי</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החלקה נרשמה בפנקס הבתים המשותפים, באופן בו כל תת חלקה מהווה יחידה עצמאית.</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הדירה שבנדון רשומה על שם ישראל ישראלי (1/1).</w:t>
      </w:r>
    </w:p>
    <w:p>
      <w:pPr>
        <w:bidi w:val="1"/>
        <w:spacing w:after="80"/>
        <w:jc w:val="right"/>
      </w:pPr>
      <w:r>
        <w:rPr>
          <w:b w:val="0"/>
          <w:rtl/>
          <w:rFonts w:ascii="Arial" w:hAnsi="Arial" w:cs="Arial"/>
          <w:sz w:val="24"/>
          <w:szCs w:val="24"/>
        </w:rPr>
        <w:t xml:space="preserve">• </w:t>
      </w:r>
      <w:r>
        <w:rPr>
          <w:b w:val="0"/>
          <w:rtl/>
          <w:rFonts w:ascii="Arial" w:hAnsi="Arial" w:cs="Arial"/>
          <w:sz w:val="24"/>
          <w:szCs w:val="24"/>
        </w:rPr>
        <w:t>נכון למועד הביקור, הדירה מושכרת בשכירות חופשית.</w:t>
      </w:r>
    </w:p>
    <w:p>
      <w:pPr>
        <w:bidi w:val="1"/>
        <w:spacing w:before="120" w:after="120"/>
        <w:jc w:val="right"/>
      </w:pPr>
      <w:r>
        <w:rPr>
          <w:b/>
          <w:rtl/>
          <w:rFonts w:ascii="Arial" w:hAnsi="Arial" w:cs="Arial"/>
          <w:sz w:val="24"/>
          <w:szCs w:val="24"/>
          <w:b/>
          <w:bCs/>
        </w:rPr>
        <w:t>4. עקרונות התחשיב</w:t>
      </w:r>
    </w:p>
    <w:p>
      <w:pPr>
        <w:bidi w:val="1"/>
        <w:spacing w:after="80"/>
        <w:jc w:val="right"/>
      </w:pPr>
      <w:r>
        <w:rPr>
          <w:b w:val="0"/>
          <w:rtl/>
          <w:rFonts w:ascii="Arial" w:hAnsi="Arial" w:cs="Arial"/>
          <w:sz w:val="24"/>
          <w:szCs w:val="24"/>
        </w:rPr>
        <w:t xml:space="preserve">• </w:t>
      </w:r>
      <w:r>
        <w:rPr>
          <w:b w:val="0"/>
          <w:rtl/>
          <w:rFonts w:ascii="Arial" w:hAnsi="Arial" w:cs="Arial"/>
          <w:sz w:val="24"/>
          <w:szCs w:val="24"/>
        </w:rPr>
        <w:t>אומדן השווי נערך לנכס שבנדון כחופשי מכל הערה, חוב ושעבוד.</w:t>
      </w:r>
    </w:p>
    <w:p>
      <w:pPr>
        <w:bidi w:val="1"/>
        <w:spacing w:after="80"/>
        <w:jc w:val="right"/>
      </w:pPr>
      <w:r>
        <w:rPr>
          <w:b w:val="0"/>
          <w:rtl/>
          <w:rFonts w:ascii="Arial" w:hAnsi="Arial" w:cs="Arial"/>
          <w:sz w:val="24"/>
          <w:szCs w:val="24"/>
        </w:rPr>
        <w:t xml:space="preserve">• </w:t>
      </w:r>
      <w:r>
        <w:rPr>
          <w:b w:val="0"/>
          <w:rtl/>
          <w:rFonts w:ascii="Arial" w:hAnsi="Arial" w:cs="Arial"/>
          <w:sz w:val="24"/>
          <w:szCs w:val="24"/>
        </w:rPr>
        <w:t>הובא בחשבון מצב שוק המקרקעין ומחירי נכסים דומים ורלוונטיים בסביבת הנכס.</w:t>
      </w:r>
    </w:p>
    <w:p>
      <w:pPr>
        <w:bidi w:val="1"/>
        <w:spacing w:before="0" w:after="120"/>
        <w:jc w:val="right"/>
      </w:pPr>
    </w:p>
    <w:p>
      <w:pPr>
        <w:bidi w:val="1"/>
        <w:spacing w:before="200" w:after="120"/>
        <w:jc w:val="right"/>
      </w:pPr>
      <w:r>
        <w:rPr>
          <w:b/>
          <w:rtl/>
          <w:rFonts w:ascii="Arial" w:hAnsi="Arial" w:cs="Arial"/>
          <w:sz w:val="26"/>
          <w:szCs w:val="26"/>
          <w:b/>
          <w:bCs/>
        </w:rPr>
        <w:t>ב. נתוני השוואה</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bidi w:val="1"/>
              <w:jc w:val="right"/>
            </w:pPr>
            <w:r>
              <w:rPr>
                <w:rtl/>
                <w:rFonts w:ascii="Arial" w:hAnsi="Arial" w:cs="Arial"/>
                <w:sz w:val="20"/>
                <w:szCs w:val="20"/>
                <w:b/>
                <w:bCs/>
              </w:rPr>
              <w:t xml:space="preserve">מס'</w:t>
            </w:r>
          </w:p>
        </w:tc>
        <w:tc>
          <w:tcPr>
            <w:tcW w:type="dxa" w:w="941"/>
          </w:tcPr>
          <w:p>
            <w:pPr>
              <w:bidi w:val="1"/>
              <w:jc w:val="right"/>
            </w:pPr>
            <w:r>
              <w:rPr>
                <w:rtl/>
                <w:rFonts w:ascii="Arial" w:hAnsi="Arial" w:cs="Arial"/>
                <w:sz w:val="20"/>
                <w:szCs w:val="20"/>
                <w:b/>
                <w:bCs/>
              </w:rPr>
              <w:t xml:space="preserve">כתובת</w:t>
            </w:r>
          </w:p>
        </w:tc>
        <w:tc>
          <w:tcPr>
            <w:tcW w:type="dxa" w:w="941"/>
          </w:tcPr>
          <w:p>
            <w:pPr>
              <w:bidi w:val="1"/>
              <w:jc w:val="right"/>
            </w:pPr>
            <w:r>
              <w:rPr>
                <w:rtl/>
                <w:rFonts w:ascii="Arial" w:hAnsi="Arial" w:cs="Arial"/>
                <w:sz w:val="20"/>
                <w:szCs w:val="20"/>
                <w:b/>
                <w:bCs/>
              </w:rPr>
              <w:t xml:space="preserve">קומה</w:t>
            </w:r>
          </w:p>
        </w:tc>
        <w:tc>
          <w:tcPr>
            <w:tcW w:type="dxa" w:w="941"/>
          </w:tcPr>
          <w:p>
            <w:pPr>
              <w:bidi w:val="1"/>
              <w:jc w:val="right"/>
            </w:pPr>
            <w:r>
              <w:rPr>
                <w:rtl/>
                <w:rFonts w:ascii="Arial" w:hAnsi="Arial" w:cs="Arial"/>
                <w:sz w:val="20"/>
                <w:szCs w:val="20"/>
                <w:b/>
                <w:bCs/>
              </w:rPr>
              <w:t xml:space="preserve">חד'</w:t>
            </w:r>
          </w:p>
        </w:tc>
        <w:tc>
          <w:tcPr>
            <w:tcW w:type="dxa" w:w="941"/>
          </w:tcPr>
          <w:p>
            <w:pPr>
              <w:bidi w:val="1"/>
              <w:jc w:val="right"/>
            </w:pPr>
            <w:r>
              <w:rPr>
                <w:rtl/>
                <w:rFonts w:ascii="Arial" w:hAnsi="Arial" w:cs="Arial"/>
                <w:sz w:val="20"/>
                <w:szCs w:val="20"/>
                <w:b/>
                <w:bCs/>
              </w:rPr>
              <w:t xml:space="preserve">שטח בנוי מ"ר</w:t>
            </w:r>
          </w:p>
        </w:tc>
        <w:tc>
          <w:tcPr>
            <w:tcW w:type="dxa" w:w="941"/>
          </w:tcPr>
          <w:p>
            <w:pPr>
              <w:bidi w:val="1"/>
              <w:jc w:val="right"/>
            </w:pPr>
            <w:r>
              <w:rPr>
                <w:rtl/>
                <w:rFonts w:ascii="Arial" w:hAnsi="Arial" w:cs="Arial"/>
                <w:sz w:val="20"/>
                <w:szCs w:val="20"/>
                <w:b/>
                <w:bCs/>
              </w:rPr>
              <w:t xml:space="preserve">מרפסת מ"ר</w:t>
            </w:r>
          </w:p>
        </w:tc>
        <w:tc>
          <w:tcPr>
            <w:tcW w:type="dxa" w:w="941"/>
          </w:tcPr>
          <w:p>
            <w:pPr>
              <w:bidi w:val="1"/>
              <w:jc w:val="right"/>
            </w:pPr>
            <w:r>
              <w:rPr>
                <w:rtl/>
                <w:rFonts w:ascii="Arial" w:hAnsi="Arial" w:cs="Arial"/>
                <w:sz w:val="20"/>
                <w:szCs w:val="20"/>
                <w:b/>
                <w:bCs/>
              </w:rPr>
              <w:t xml:space="preserve">שטח אקו' מ"ר</w:t>
            </w:r>
          </w:p>
        </w:tc>
        <w:tc>
          <w:tcPr>
            <w:tcW w:type="dxa" w:w="941"/>
          </w:tcPr>
          <w:p>
            <w:pPr>
              <w:bidi w:val="1"/>
              <w:jc w:val="right"/>
            </w:pPr>
            <w:r>
              <w:rPr>
                <w:rtl/>
                <w:rFonts w:ascii="Arial" w:hAnsi="Arial" w:cs="Arial"/>
                <w:sz w:val="20"/>
                <w:szCs w:val="20"/>
                <w:b/>
                <w:bCs/>
              </w:rPr>
              <w:t xml:space="preserve">מחיר</w:t>
            </w:r>
          </w:p>
        </w:tc>
        <w:tc>
          <w:tcPr>
            <w:tcW w:type="dxa" w:w="941"/>
          </w:tcPr>
          <w:p>
            <w:pPr>
              <w:bidi w:val="1"/>
              <w:jc w:val="right"/>
            </w:pPr>
            <w:r>
              <w:rPr>
                <w:rtl/>
                <w:rFonts w:ascii="Arial" w:hAnsi="Arial" w:cs="Arial"/>
                <w:sz w:val="20"/>
                <w:szCs w:val="20"/>
                <w:b/>
                <w:bCs/>
              </w:rPr>
              <w:t xml:space="preserve">₪/מ"ר אקו'</w:t>
            </w:r>
          </w:p>
        </w:tc>
        <w:tc>
          <w:tcPr>
            <w:tcW w:type="dxa" w:w="941"/>
          </w:tcPr>
          <w:p>
            <w:pPr>
              <w:bidi w:val="1"/>
              <w:jc w:val="right"/>
            </w:pPr>
            <w:r>
              <w:rPr>
                <w:rtl/>
                <w:rFonts w:ascii="Arial" w:hAnsi="Arial" w:cs="Arial"/>
                <w:sz w:val="20"/>
                <w:szCs w:val="20"/>
                <w:b/>
                <w:bCs/>
              </w:rPr>
              <w:t xml:space="preserve">הערות</w:t>
            </w:r>
          </w:p>
        </w:tc>
      </w:tr>
      <w:tr>
        <w:tc>
          <w:tcPr>
            <w:tcW w:type="dxa" w:w="941"/>
          </w:tcPr>
          <w:p>
            <w:pPr>
              <w:bidi w:val="1"/>
              <w:jc w:val="right"/>
            </w:pPr>
            <w:r>
              <w:rPr>
                <w:rtl/>
                <w:rFonts w:ascii="Arial" w:hAnsi="Arial" w:cs="Arial"/>
                <w:sz w:val="20"/>
                <w:szCs w:val="20"/>
              </w:rPr>
              <w:t xml:space="preserve">1</w:t>
            </w:r>
          </w:p>
        </w:tc>
        <w:tc>
          <w:tcPr>
            <w:tcW w:type="dxa" w:w="941"/>
          </w:tcPr>
          <w:p>
            <w:pPr>
              <w:bidi w:val="1"/>
              <w:jc w:val="right"/>
            </w:pPr>
            <w:r>
              <w:rPr>
                <w:rtl/>
                <w:rFonts w:ascii="Arial" w:hAnsi="Arial" w:cs="Arial"/>
                <w:sz w:val="20"/>
                <w:szCs w:val="20"/>
              </w:rPr>
              <w:t xml:space="preserve">רחוב ביאליק 10, רמת גן</w:t>
            </w:r>
          </w:p>
        </w:tc>
        <w:tc>
          <w:tcPr>
            <w:tcW w:type="dxa" w:w="941"/>
          </w:tcPr>
          <w:p>
            <w:pPr>
              <w:bidi w:val="1"/>
              <w:jc w:val="right"/>
            </w:pPr>
            <w:r>
              <w:rPr>
                <w:rtl/>
                <w:rFonts w:ascii="Arial" w:hAnsi="Arial" w:cs="Arial"/>
                <w:sz w:val="20"/>
                <w:szCs w:val="20"/>
              </w:rPr>
              <w:t xml:space="preserve">2</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88</w:t>
            </w:r>
          </w:p>
        </w:tc>
        <w:tc>
          <w:tcPr>
            <w:tcW w:type="dxa" w:w="941"/>
          </w:tcPr>
          <w:p>
            <w:pPr>
              <w:bidi w:val="1"/>
              <w:jc w:val="right"/>
            </w:pPr>
            <w:r>
              <w:rPr>
                <w:rtl/>
                <w:rFonts w:ascii="Arial" w:hAnsi="Arial" w:cs="Arial"/>
                <w:sz w:val="20"/>
                <w:szCs w:val="20"/>
              </w:rPr>
              <w:t xml:space="preserve">10</w:t>
            </w:r>
          </w:p>
        </w:tc>
        <w:tc>
          <w:tcPr>
            <w:tcW w:type="dxa" w:w="941"/>
          </w:tcPr>
          <w:p>
            <w:pPr>
              <w:bidi w:val="1"/>
              <w:jc w:val="right"/>
            </w:pPr>
            <w:r>
              <w:rPr>
                <w:rtl/>
                <w:rFonts w:ascii="Arial" w:hAnsi="Arial" w:cs="Arial"/>
                <w:sz w:val="20"/>
                <w:szCs w:val="20"/>
              </w:rPr>
              <w:t xml:space="preserve">93.0</w:t>
            </w:r>
          </w:p>
        </w:tc>
        <w:tc>
          <w:tcPr>
            <w:tcW w:type="dxa" w:w="941"/>
          </w:tcPr>
          <w:p>
            <w:pPr>
              <w:bidi w:val="1"/>
              <w:jc w:val="right"/>
            </w:pPr>
            <w:r>
              <w:rPr>
                <w:rtl/>
                <w:rFonts w:ascii="Arial" w:hAnsi="Arial" w:cs="Arial"/>
                <w:sz w:val="20"/>
                <w:szCs w:val="20"/>
              </w:rPr>
              <w:t xml:space="preserve">2,150,000 ₪</w:t>
            </w:r>
          </w:p>
        </w:tc>
        <w:tc>
          <w:tcPr>
            <w:tcW w:type="dxa" w:w="941"/>
          </w:tcPr>
          <w:p>
            <w:pPr>
              <w:bidi w:val="1"/>
              <w:jc w:val="right"/>
            </w:pPr>
            <w:r>
              <w:rPr>
                <w:rtl/>
                <w:rFonts w:ascii="Arial" w:hAnsi="Arial" w:cs="Arial"/>
                <w:sz w:val="20"/>
                <w:szCs w:val="20"/>
              </w:rPr>
              <w:t xml:space="preserve">23,118 ₪</w:t>
            </w:r>
          </w:p>
        </w:tc>
        <w:tc>
          <w:tcPr>
            <w:tcW w:type="dxa" w:w="941"/>
          </w:tcPr>
          <w:p>
            <w:pPr>
              <w:bidi w:val="1"/>
              <w:jc w:val="right"/>
            </w:pPr>
            <w:r>
              <w:rPr>
                <w:rtl/>
                <w:rFonts w:ascii="Arial" w:hAnsi="Arial" w:cs="Arial"/>
                <w:sz w:val="20"/>
                <w:szCs w:val="20"/>
              </w:rPr>
              <w:t xml:space="preserve">מכירה 03/2025</w:t>
            </w:r>
          </w:p>
        </w:tc>
      </w:tr>
      <w:tr>
        <w:tc>
          <w:tcPr>
            <w:tcW w:type="dxa" w:w="941"/>
          </w:tcPr>
          <w:p>
            <w:pPr>
              <w:bidi w:val="1"/>
              <w:jc w:val="right"/>
            </w:pPr>
            <w:r>
              <w:rPr>
                <w:rtl/>
                <w:rFonts w:ascii="Arial" w:hAnsi="Arial" w:cs="Arial"/>
                <w:sz w:val="20"/>
                <w:szCs w:val="20"/>
              </w:rPr>
              <w:t xml:space="preserve">2</w:t>
            </w:r>
          </w:p>
        </w:tc>
        <w:tc>
          <w:tcPr>
            <w:tcW w:type="dxa" w:w="941"/>
          </w:tcPr>
          <w:p>
            <w:pPr>
              <w:bidi w:val="1"/>
              <w:jc w:val="right"/>
            </w:pPr>
            <w:r>
              <w:rPr>
                <w:rtl/>
                <w:rFonts w:ascii="Arial" w:hAnsi="Arial" w:cs="Arial"/>
                <w:sz w:val="20"/>
                <w:szCs w:val="20"/>
              </w:rPr>
              <w:t xml:space="preserve">רחוב ביאליק 22, רמת גן</w:t>
            </w:r>
          </w:p>
        </w:tc>
        <w:tc>
          <w:tcPr>
            <w:tcW w:type="dxa" w:w="941"/>
          </w:tcPr>
          <w:p>
            <w:pPr>
              <w:bidi w:val="1"/>
              <w:jc w:val="right"/>
            </w:pPr>
            <w:r>
              <w:rPr>
                <w:rtl/>
                <w:rFonts w:ascii="Arial" w:hAnsi="Arial" w:cs="Arial"/>
                <w:sz w:val="20"/>
                <w:szCs w:val="20"/>
              </w:rPr>
              <w:t xml:space="preserve">5</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95</w:t>
            </w:r>
          </w:p>
        </w:tc>
        <w:tc>
          <w:tcPr>
            <w:tcW w:type="dxa" w:w="941"/>
          </w:tcPr>
          <w:p>
            <w:pPr>
              <w:bidi w:val="1"/>
              <w:jc w:val="right"/>
            </w:pPr>
            <w:r>
              <w:rPr>
                <w:rtl/>
                <w:rFonts w:ascii="Arial" w:hAnsi="Arial" w:cs="Arial"/>
                <w:sz w:val="20"/>
                <w:szCs w:val="20"/>
              </w:rPr>
              <w:t xml:space="preserve">14</w:t>
            </w:r>
          </w:p>
        </w:tc>
        <w:tc>
          <w:tcPr>
            <w:tcW w:type="dxa" w:w="941"/>
          </w:tcPr>
          <w:p>
            <w:pPr>
              <w:bidi w:val="1"/>
              <w:jc w:val="right"/>
            </w:pPr>
            <w:r>
              <w:rPr>
                <w:rtl/>
                <w:rFonts w:ascii="Arial" w:hAnsi="Arial" w:cs="Arial"/>
                <w:sz w:val="20"/>
                <w:szCs w:val="20"/>
              </w:rPr>
              <w:t xml:space="preserve">102.0</w:t>
            </w:r>
          </w:p>
        </w:tc>
        <w:tc>
          <w:tcPr>
            <w:tcW w:type="dxa" w:w="941"/>
          </w:tcPr>
          <w:p>
            <w:pPr>
              <w:bidi w:val="1"/>
              <w:jc w:val="right"/>
            </w:pPr>
            <w:r>
              <w:rPr>
                <w:rtl/>
                <w:rFonts w:ascii="Arial" w:hAnsi="Arial" w:cs="Arial"/>
                <w:sz w:val="20"/>
                <w:szCs w:val="20"/>
              </w:rPr>
              <w:t xml:space="preserve">2,420,000 ₪</w:t>
            </w:r>
          </w:p>
        </w:tc>
        <w:tc>
          <w:tcPr>
            <w:tcW w:type="dxa" w:w="941"/>
          </w:tcPr>
          <w:p>
            <w:pPr>
              <w:bidi w:val="1"/>
              <w:jc w:val="right"/>
            </w:pPr>
            <w:r>
              <w:rPr>
                <w:rtl/>
                <w:rFonts w:ascii="Arial" w:hAnsi="Arial" w:cs="Arial"/>
                <w:sz w:val="20"/>
                <w:szCs w:val="20"/>
              </w:rPr>
              <w:t xml:space="preserve">23,725 ₪</w:t>
            </w:r>
          </w:p>
        </w:tc>
        <w:tc>
          <w:tcPr>
            <w:tcW w:type="dxa" w:w="941"/>
          </w:tcPr>
          <w:p>
            <w:pPr>
              <w:bidi w:val="1"/>
              <w:jc w:val="right"/>
            </w:pPr>
            <w:r>
              <w:rPr>
                <w:rtl/>
                <w:rFonts w:ascii="Arial" w:hAnsi="Arial" w:cs="Arial"/>
                <w:sz w:val="20"/>
                <w:szCs w:val="20"/>
              </w:rPr>
              <w:t xml:space="preserve">מכירה 02/2025</w:t>
            </w:r>
          </w:p>
        </w:tc>
      </w:tr>
      <w:tr>
        <w:tc>
          <w:tcPr>
            <w:tcW w:type="dxa" w:w="941"/>
          </w:tcPr>
          <w:p>
            <w:pPr>
              <w:bidi w:val="1"/>
              <w:jc w:val="right"/>
            </w:pPr>
            <w:r>
              <w:rPr>
                <w:rtl/>
                <w:rFonts w:ascii="Arial" w:hAnsi="Arial" w:cs="Arial"/>
                <w:sz w:val="20"/>
                <w:szCs w:val="20"/>
              </w:rPr>
              <w:t xml:space="preserve">3</w:t>
            </w:r>
          </w:p>
        </w:tc>
        <w:tc>
          <w:tcPr>
            <w:tcW w:type="dxa" w:w="941"/>
          </w:tcPr>
          <w:p>
            <w:pPr>
              <w:bidi w:val="1"/>
              <w:jc w:val="right"/>
            </w:pPr>
            <w:r>
              <w:rPr>
                <w:rtl/>
                <w:rFonts w:ascii="Arial" w:hAnsi="Arial" w:cs="Arial"/>
                <w:sz w:val="20"/>
                <w:szCs w:val="20"/>
              </w:rPr>
              <w:t xml:space="preserve">רחוב ארלוזורוב 8, רמת גן</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90</w:t>
            </w:r>
          </w:p>
        </w:tc>
        <w:tc>
          <w:tcPr>
            <w:tcW w:type="dxa" w:w="941"/>
          </w:tcPr>
          <w:p>
            <w:pPr>
              <w:bidi w:val="1"/>
              <w:jc w:val="right"/>
            </w:pPr>
            <w:r>
              <w:rPr>
                <w:rtl/>
                <w:rFonts w:ascii="Arial" w:hAnsi="Arial" w:cs="Arial"/>
                <w:sz w:val="20"/>
                <w:szCs w:val="20"/>
              </w:rPr>
              <w:t xml:space="preserve">—</w:t>
            </w:r>
          </w:p>
        </w:tc>
        <w:tc>
          <w:tcPr>
            <w:tcW w:type="dxa" w:w="941"/>
          </w:tcPr>
          <w:p>
            <w:pPr>
              <w:bidi w:val="1"/>
              <w:jc w:val="right"/>
            </w:pPr>
            <w:r>
              <w:rPr>
                <w:rtl/>
                <w:rFonts w:ascii="Arial" w:hAnsi="Arial" w:cs="Arial"/>
                <w:sz w:val="20"/>
                <w:szCs w:val="20"/>
              </w:rPr>
              <w:t xml:space="preserve">90.0</w:t>
            </w:r>
          </w:p>
        </w:tc>
        <w:tc>
          <w:tcPr>
            <w:tcW w:type="dxa" w:w="941"/>
          </w:tcPr>
          <w:p>
            <w:pPr>
              <w:bidi w:val="1"/>
              <w:jc w:val="right"/>
            </w:pPr>
            <w:r>
              <w:rPr>
                <w:rtl/>
                <w:rFonts w:ascii="Arial" w:hAnsi="Arial" w:cs="Arial"/>
                <w:sz w:val="20"/>
                <w:szCs w:val="20"/>
              </w:rPr>
              <w:t xml:space="preserve">2,100,000 ₪</w:t>
            </w:r>
          </w:p>
        </w:tc>
        <w:tc>
          <w:tcPr>
            <w:tcW w:type="dxa" w:w="941"/>
          </w:tcPr>
          <w:p>
            <w:pPr>
              <w:bidi w:val="1"/>
              <w:jc w:val="right"/>
            </w:pPr>
            <w:r>
              <w:rPr>
                <w:rtl/>
                <w:rFonts w:ascii="Arial" w:hAnsi="Arial" w:cs="Arial"/>
                <w:sz w:val="20"/>
                <w:szCs w:val="20"/>
              </w:rPr>
              <w:t xml:space="preserve">23,333 ₪</w:t>
            </w:r>
          </w:p>
        </w:tc>
        <w:tc>
          <w:tcPr>
            <w:tcW w:type="dxa" w:w="941"/>
          </w:tcPr>
          <w:p>
            <w:pPr>
              <w:bidi w:val="1"/>
              <w:jc w:val="right"/>
            </w:pPr>
            <w:r>
              <w:rPr>
                <w:rtl/>
                <w:rFonts w:ascii="Arial" w:hAnsi="Arial" w:cs="Arial"/>
                <w:sz w:val="20"/>
                <w:szCs w:val="20"/>
              </w:rPr>
              <w:t xml:space="preserve">מכירה 01/2025</w:t>
            </w:r>
          </w:p>
        </w:tc>
      </w:tr>
      <w:tr>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רחוב הירקון 5, רמת גן</w:t>
            </w:r>
          </w:p>
        </w:tc>
        <w:tc>
          <w:tcPr>
            <w:tcW w:type="dxa" w:w="941"/>
          </w:tcPr>
          <w:p>
            <w:pPr>
              <w:bidi w:val="1"/>
              <w:jc w:val="right"/>
            </w:pPr>
            <w:r>
              <w:rPr>
                <w:rtl/>
                <w:rFonts w:ascii="Arial" w:hAnsi="Arial" w:cs="Arial"/>
                <w:sz w:val="20"/>
                <w:szCs w:val="20"/>
              </w:rPr>
              <w:t xml:space="preserve">3</w:t>
            </w:r>
          </w:p>
        </w:tc>
        <w:tc>
          <w:tcPr>
            <w:tcW w:type="dxa" w:w="941"/>
          </w:tcPr>
          <w:p>
            <w:pPr>
              <w:bidi w:val="1"/>
              <w:jc w:val="right"/>
            </w:pPr>
            <w:r>
              <w:rPr>
                <w:rtl/>
                <w:rFonts w:ascii="Arial" w:hAnsi="Arial" w:cs="Arial"/>
                <w:sz w:val="20"/>
                <w:szCs w:val="20"/>
              </w:rPr>
              <w:t xml:space="preserve">4</w:t>
            </w:r>
          </w:p>
        </w:tc>
        <w:tc>
          <w:tcPr>
            <w:tcW w:type="dxa" w:w="941"/>
          </w:tcPr>
          <w:p>
            <w:pPr>
              <w:bidi w:val="1"/>
              <w:jc w:val="right"/>
            </w:pPr>
            <w:r>
              <w:rPr>
                <w:rtl/>
                <w:rFonts w:ascii="Arial" w:hAnsi="Arial" w:cs="Arial"/>
                <w:sz w:val="20"/>
                <w:szCs w:val="20"/>
              </w:rPr>
              <w:t xml:space="preserve">93</w:t>
            </w:r>
          </w:p>
        </w:tc>
        <w:tc>
          <w:tcPr>
            <w:tcW w:type="dxa" w:w="941"/>
          </w:tcPr>
          <w:p>
            <w:pPr>
              <w:bidi w:val="1"/>
              <w:jc w:val="right"/>
            </w:pPr>
            <w:r>
              <w:rPr>
                <w:rtl/>
                <w:rFonts w:ascii="Arial" w:hAnsi="Arial" w:cs="Arial"/>
                <w:sz w:val="20"/>
                <w:szCs w:val="20"/>
              </w:rPr>
              <w:t xml:space="preserve">12</w:t>
            </w:r>
          </w:p>
        </w:tc>
        <w:tc>
          <w:tcPr>
            <w:tcW w:type="dxa" w:w="941"/>
          </w:tcPr>
          <w:p>
            <w:pPr>
              <w:bidi w:val="1"/>
              <w:jc w:val="right"/>
            </w:pPr>
            <w:r>
              <w:rPr>
                <w:rtl/>
                <w:rFonts w:ascii="Arial" w:hAnsi="Arial" w:cs="Arial"/>
                <w:sz w:val="20"/>
                <w:szCs w:val="20"/>
              </w:rPr>
              <w:t xml:space="preserve">99.0</w:t>
            </w:r>
          </w:p>
        </w:tc>
        <w:tc>
          <w:tcPr>
            <w:tcW w:type="dxa" w:w="941"/>
          </w:tcPr>
          <w:p>
            <w:pPr>
              <w:bidi w:val="1"/>
              <w:jc w:val="right"/>
            </w:pPr>
            <w:r>
              <w:rPr>
                <w:rtl/>
                <w:rFonts w:ascii="Arial" w:hAnsi="Arial" w:cs="Arial"/>
                <w:sz w:val="20"/>
                <w:szCs w:val="20"/>
              </w:rPr>
              <w:t xml:space="preserve">2,280,000 ₪</w:t>
            </w:r>
          </w:p>
        </w:tc>
        <w:tc>
          <w:tcPr>
            <w:tcW w:type="dxa" w:w="941"/>
          </w:tcPr>
          <w:p>
            <w:pPr>
              <w:bidi w:val="1"/>
              <w:jc w:val="right"/>
            </w:pPr>
            <w:r>
              <w:rPr>
                <w:rtl/>
                <w:rFonts w:ascii="Arial" w:hAnsi="Arial" w:cs="Arial"/>
                <w:sz w:val="20"/>
                <w:szCs w:val="20"/>
              </w:rPr>
              <w:t xml:space="preserve">23,030 ₪</w:t>
            </w:r>
          </w:p>
        </w:tc>
        <w:tc>
          <w:tcPr>
            <w:tcW w:type="dxa" w:w="941"/>
          </w:tcPr>
          <w:p>
            <w:pPr>
              <w:bidi w:val="1"/>
              <w:jc w:val="right"/>
            </w:pPr>
            <w:r>
              <w:rPr>
                <w:rtl/>
                <w:rFonts w:ascii="Arial" w:hAnsi="Arial" w:cs="Arial"/>
                <w:sz w:val="20"/>
                <w:szCs w:val="20"/>
              </w:rPr>
              <w:t xml:space="preserve">מכירה 04/2025</w:t>
            </w:r>
          </w:p>
        </w:tc>
      </w:tr>
    </w:tbl>
    <w:p>
      <w:pPr>
        <w:bidi w:val="1"/>
        <w:spacing w:before="0" w:after="120"/>
        <w:jc w:val="right"/>
      </w:pPr>
    </w:p>
    <w:p>
      <w:pPr>
        <w:bidi w:val="1"/>
        <w:spacing w:before="0" w:after="120"/>
        <w:jc w:val="right"/>
      </w:pPr>
      <w:r>
        <w:rPr>
          <w:b w:val="0"/>
          <w:rtl/>
          <w:rFonts w:ascii="Arial" w:hAnsi="Arial" w:cs="Arial"/>
          <w:sz w:val="24"/>
          <w:szCs w:val="24"/>
        </w:rPr>
        <w:t>לאור הנתונים שהוצגו לעיל, ובהתחשב במאפייני הנכס שבנדון ובמיקומו נראה כסביר לאמוד שווי מ"ר אקו' בנכס שבנדון בסך של כ- 23,500 ₪ / מ"ר אקו'.</w:t>
      </w:r>
    </w:p>
    <w:p>
      <w:pPr>
        <w:bidi w:val="1"/>
        <w:spacing w:before="0" w:after="120"/>
        <w:jc w:val="right"/>
      </w:pPr>
    </w:p>
    <w:p>
      <w:pPr>
        <w:bidi w:val="1"/>
        <w:spacing w:before="200" w:after="120"/>
        <w:jc w:val="right"/>
      </w:pPr>
      <w:r>
        <w:rPr>
          <w:b/>
          <w:rtl/>
          <w:rFonts w:ascii="Arial" w:hAnsi="Arial" w:cs="Arial"/>
          <w:sz w:val="26"/>
          <w:szCs w:val="26"/>
          <w:b/>
          <w:bCs/>
        </w:rPr>
        <w:t>ג. שומה</w:t>
      </w:r>
    </w:p>
    <w:p>
      <w:pPr>
        <w:bidi w:val="1"/>
        <w:spacing w:before="0" w:after="120"/>
        <w:jc w:val="right"/>
      </w:pPr>
      <w:r>
        <w:rPr>
          <w:b w:val="0"/>
          <w:rtl/>
          <w:rFonts w:ascii="Arial" w:hAnsi="Arial" w:cs="Arial"/>
          <w:sz w:val="24"/>
          <w:szCs w:val="24"/>
        </w:rPr>
        <w:t>בהתבסס על כל האמור לעיל ובמיקומו של הנכס המהווה את תת חלקה 8 בחלקה מספר 27 בגוש 6130, ברחוב רחוב ביאליק 15, רמת גן:</w:t>
      </w:r>
    </w:p>
    <w:p>
      <w:pPr>
        <w:bidi w:val="1"/>
        <w:spacing w:before="0" w:after="120"/>
        <w:jc w:val="right"/>
      </w:pPr>
      <w:r>
        <w:rPr>
          <w:b/>
          <w:rtl/>
          <w:rFonts w:ascii="Arial" w:hAnsi="Arial" w:cs="Arial"/>
          <w:sz w:val="26"/>
          <w:szCs w:val="26"/>
          <w:b/>
          <w:bCs/>
        </w:rPr>
        <w:t>אומדן שווי הזכויות בנכס שבנדון הינו סביב 2,300,000 ₪ (שני מיליון ושלוש מאות אלף שקלים חדשים) כולל מע"מ.</w:t>
      </w:r>
    </w:p>
    <w:p>
      <w:pPr>
        <w:bidi w:val="1"/>
        <w:spacing w:before="0" w:after="120"/>
        <w:jc w:val="right"/>
      </w:pPr>
      <w:r>
        <w:rPr>
          <w:b w:val="0"/>
          <w:rtl/>
          <w:rFonts w:ascii="Arial" w:hAnsi="Arial" w:cs="Arial"/>
          <w:sz w:val="24"/>
          <w:szCs w:val="24"/>
        </w:rPr>
        <w:t>לצורך מימוש מהיר בדרך של מכירה באילוץ, ניתן להעמיד את שווי הנכס על סך של 85% מהשווי הנקוב לעיל, קרי: 1,955,000 ₪ (מיליון ותשע מאות וחמישים וחמישה אלף שקלים חדשים).</w:t>
      </w:r>
    </w:p>
    <w:p>
      <w:pPr>
        <w:bidi w:val="1"/>
        <w:spacing w:before="0" w:after="120"/>
        <w:jc w:val="right"/>
      </w:pPr>
    </w:p>
    <w:p>
      <w:pPr>
        <w:bidi w:val="1"/>
        <w:spacing w:before="200" w:after="120"/>
        <w:jc w:val="right"/>
      </w:pPr>
      <w:r>
        <w:rPr>
          <w:b/>
          <w:rtl/>
          <w:rFonts w:ascii="Arial" w:hAnsi="Arial" w:cs="Arial"/>
          <w:sz w:val="26"/>
          <w:szCs w:val="26"/>
          <w:b/>
          <w:bCs/>
        </w:rPr>
        <w:t>הצהרות</w:t>
      </w:r>
    </w:p>
    <w:p>
      <w:pPr>
        <w:bidi w:val="1"/>
        <w:spacing w:before="0" w:after="120"/>
        <w:jc w:val="right"/>
      </w:pPr>
      <w:r>
        <w:rPr>
          <w:b w:val="0"/>
          <w:rtl/>
          <w:rFonts w:ascii="Arial" w:hAnsi="Arial" w:cs="Arial"/>
          <w:sz w:val="24"/>
          <w:szCs w:val="24"/>
        </w:rPr>
        <w:t>הננו מצהירים כי אין לנו עניין אישי עם הנכס שבנדון, בעלי הזכויות בנכס או עם מזמין חוות הדעת.</w:t>
      </w:r>
    </w:p>
    <w:p>
      <w:pPr>
        <w:bidi w:val="1"/>
        <w:spacing w:before="0" w:after="120"/>
        <w:jc w:val="right"/>
      </w:pPr>
      <w:r>
        <w:rPr>
          <w:b w:val="0"/>
          <w:rtl/>
          <w:rFonts w:ascii="Arial" w:hAnsi="Arial" w:cs="Arial"/>
          <w:sz w:val="24"/>
          <w:szCs w:val="24"/>
        </w:rPr>
        <w:t>חוות הדעת נערכה על פי תקנות שמאי המקרקעין (אתיקה מקצועית) התשכ"ו – 1966 ועל פי התקנים המקצועיים של הועדה לתקינה שמאית במועצת שמאי המקרקעין.</w:t>
      </w:r>
    </w:p>
    <w:p>
      <w:pPr>
        <w:bidi w:val="1"/>
        <w:spacing w:before="0" w:after="120"/>
        <w:jc w:val="right"/>
      </w:pPr>
      <w:r>
        <w:rPr>
          <w:b w:val="0"/>
          <w:rtl/>
          <w:rFonts w:ascii="Arial" w:hAnsi="Arial" w:cs="Arial"/>
          <w:sz w:val="24"/>
          <w:szCs w:val="24"/>
        </w:rPr>
        <w:t>שומה זו הוכנה עבור מזמינה ולמטרתה בלבד. אין היא מהווה תחליף לייעוץ משפטי ואין להסתמך עליה לכל מטרה אחרת.</w:t>
      </w:r>
    </w:p>
    <w:p>
      <w:r>
        <w:br w:type="page"/>
      </w:r>
    </w:p>
    <w:p>
      <w:pPr>
        <w:bidi w:val="1"/>
        <w:spacing w:before="200" w:after="120"/>
        <w:jc w:val="right"/>
      </w:pPr>
      <w:r>
        <w:rPr>
          <w:b/>
          <w:rtl/>
          <w:rFonts w:ascii="Arial" w:hAnsi="Arial" w:cs="Arial"/>
          <w:sz w:val="28"/>
          <w:szCs w:val="28"/>
          <w:b/>
          <w:bCs/>
        </w:rPr>
        <w:t>נספח מיסוי</w:t>
      </w:r>
    </w:p>
    <w:p>
      <w:pPr>
        <w:bidi w:val="1"/>
        <w:spacing w:before="0" w:after="120"/>
        <w:jc w:val="right"/>
      </w:pPr>
      <w:r>
        <w:rPr>
          <w:b w:val="0"/>
          <w:rtl/>
          <w:rFonts w:ascii="Arial" w:hAnsi="Arial" w:cs="Arial"/>
          <w:sz w:val="24"/>
          <w:szCs w:val="24"/>
        </w:rPr>
        <w:t>בהתאם לבקשתכם, להלן תחשיב שווי הנכס נטו לאחר הפחתות בגין עלויות צפויות בעת מימוש:</w:t>
      </w:r>
    </w:p>
    <w:p>
      <w:pPr>
        <w:bidi w:val="1"/>
        <w:spacing w:before="0" w:after="120"/>
        <w:jc w:val="right"/>
      </w:pPr>
      <w:r>
        <w:rPr>
          <w:b w:val="0"/>
          <w:rtl/>
          <w:rFonts w:ascii="Arial" w:hAnsi="Arial" w:cs="Arial"/>
          <w:sz w:val="24"/>
          <w:szCs w:val="24"/>
        </w:rPr>
        <w:t>הנכס שבנדון נרכש בתאריך 15/06/2010 בתמורה לסך של כ-900,000 ₪. שווי הנכס גבוה מעלותו באופן בו צפויה לחול חבות במס בעת מימוש (הובא בחשבון מס שבח בשיעור של 25%).</w:t>
      </w:r>
    </w:p>
    <w:tbl>
      <w:tblPr>
        <w:tblStyle w:val="TableGrid"/>
        <w:tblW w:type="auto" w:w="0"/>
        <w:tblLook w:firstColumn="1" w:firstRow="1" w:lastColumn="0" w:lastRow="0" w:noHBand="0" w:noVBand="1" w:val="04A0"/>
      </w:tblPr>
      <w:tblGrid>
        <w:gridCol w:w="4703"/>
        <w:gridCol w:w="4703"/>
      </w:tblGrid>
      <w:tr>
        <w:tc>
          <w:tcPr>
            <w:tcW w:type="dxa" w:w="4535"/>
          </w:tcPr>
          <w:p>
            <w:pPr>
              <w:bidi w:val="1"/>
              <w:jc w:val="right"/>
            </w:pPr>
            <w:r>
              <w:rPr>
                <w:rtl/>
                <w:rFonts w:ascii="Arial" w:hAnsi="Arial" w:cs="Arial"/>
                <w:sz w:val="24"/>
                <w:szCs w:val="24"/>
              </w:rPr>
              <w:t xml:space="preserve">שווי השוק (ברוטו)</w:t>
            </w:r>
          </w:p>
        </w:tc>
        <w:tc>
          <w:tcPr>
            <w:tcW w:type="dxa" w:w="4535"/>
          </w:tcPr>
          <w:p>
            <w:pPr>
              <w:bidi w:val="1"/>
              <w:jc w:val="right"/>
            </w:pPr>
            <w:r>
              <w:rPr>
                <w:rtl/>
                <w:rFonts w:ascii="Arial" w:hAnsi="Arial" w:cs="Arial"/>
                <w:sz w:val="24"/>
                <w:szCs w:val="24"/>
              </w:rPr>
              <w:t xml:space="preserve">2,300,000 ₪</w:t>
            </w:r>
          </w:p>
        </w:tc>
      </w:tr>
      <w:tr>
        <w:tc>
          <w:tcPr>
            <w:tcW w:type="dxa" w:w="4535"/>
          </w:tcPr>
          <w:p>
            <w:pPr>
              <w:bidi w:val="1"/>
              <w:jc w:val="right"/>
            </w:pPr>
            <w:r>
              <w:rPr>
                <w:rtl/>
                <w:rFonts w:ascii="Arial" w:hAnsi="Arial" w:cs="Arial"/>
                <w:sz w:val="24"/>
                <w:szCs w:val="24"/>
              </w:rPr>
              <w:t xml:space="preserve">הפחתת מס שבח (25%)</w:t>
            </w:r>
          </w:p>
        </w:tc>
        <w:tc>
          <w:tcPr>
            <w:tcW w:type="dxa" w:w="4535"/>
          </w:tcPr>
          <w:p>
            <w:pPr>
              <w:bidi w:val="1"/>
              <w:jc w:val="right"/>
            </w:pPr>
            <w:r>
              <w:rPr>
                <w:rtl/>
                <w:rFonts w:ascii="Arial" w:hAnsi="Arial" w:cs="Arial"/>
                <w:sz w:val="24"/>
                <w:szCs w:val="24"/>
              </w:rPr>
              <w:t xml:space="preserve">(350,000 ₪)</w:t>
            </w:r>
          </w:p>
        </w:tc>
      </w:tr>
      <w:tr>
        <w:tc>
          <w:tcPr>
            <w:tcW w:type="dxa" w:w="4535"/>
          </w:tcPr>
          <w:p>
            <w:pPr>
              <w:bidi w:val="1"/>
              <w:jc w:val="right"/>
            </w:pPr>
            <w:r>
              <w:rPr>
                <w:rtl/>
                <w:rFonts w:ascii="Arial" w:hAnsi="Arial" w:cs="Arial"/>
                <w:sz w:val="24"/>
                <w:szCs w:val="24"/>
                <w:b/>
                <w:bCs/>
              </w:rPr>
              <w:t xml:space="preserve">שווי נטו למימוש</w:t>
            </w:r>
          </w:p>
        </w:tc>
        <w:tc>
          <w:tcPr>
            <w:tcW w:type="dxa" w:w="4535"/>
          </w:tcPr>
          <w:p>
            <w:pPr>
              <w:bidi w:val="1"/>
              <w:jc w:val="right"/>
            </w:pPr>
            <w:r>
              <w:rPr>
                <w:rtl/>
                <w:rFonts w:ascii="Arial" w:hAnsi="Arial" w:cs="Arial"/>
                <w:sz w:val="24"/>
                <w:szCs w:val="24"/>
                <w:b/>
                <w:bCs/>
              </w:rPr>
              <w:t xml:space="preserve">1,950,000 ₪</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jc w:val="right"/>
    </w:pPr>
    <w:rPr>
      <w:rFonts w:ascii="Arial" w:hAnsi="Arial" w:cs="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