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360"/>
      </w:pPr>
      <w:r>
        <w:t xml:space="preserve"/>
      </w:r>
    </w:p>
    <w:p>
      <w:pPr>
        <w:pBdr>
          <w:top w:val="single" w:color="C9A84C" w:sz="12"/>
        </w:pBdr>
        <w:spacing w:after="0" w:before="0"/>
        <w:jc w:val="center"/>
      </w:pPr>
      <w:r>
        <w:rPr>
          <w:rFonts w:ascii="Arial" w:cs="Arial" w:eastAsia="Arial" w:hAnsi="Arial"/>
          <w:sz w:val="24"/>
          <w:szCs w:val="24"/>
        </w:rPr>
        <w:t xml:space="preserve"/>
      </w:r>
    </w:p>
    <w:p>
      <w:pPr>
        <w:spacing w:after="80" w:before="80"/>
      </w:pPr>
      <w:r>
        <w:t xml:space="preserve"/>
      </w:r>
    </w:p>
    <w:p>
      <w:pPr>
        <w:spacing w:after="50" w:before="0"/>
        <w:jc w:val="center"/>
      </w:pPr>
      <w:r>
        <w:rPr>
          <w:rFonts w:ascii="Arial" w:cs="Arial" w:eastAsia="Arial" w:hAnsi="Arial"/>
          <w:b/>
          <w:bCs/>
          <w:color w:val="0D1B2A"/>
          <w:sz w:val="40"/>
          <w:szCs w:val="40"/>
        </w:rPr>
        <w:t xml:space="preserve">The Harder Road:</w:t>
      </w:r>
    </w:p>
    <w:p>
      <w:pPr>
        <w:spacing w:after="100" w:before="0"/>
        <w:jc w:val="center"/>
      </w:pPr>
      <w:r>
        <w:rPr>
          <w:rFonts w:ascii="Arial" w:cs="Arial" w:eastAsia="Arial" w:hAnsi="Arial"/>
          <w:b w:val="false"/>
          <w:bCs w:val="false"/>
          <w:color w:val="555555"/>
          <w:sz w:val="24"/>
          <w:szCs w:val="24"/>
        </w:rPr>
        <w:t xml:space="preserve">Why Justice Demands More From Us Than Rage, Why Every American and Every Human Being Must Act Now, and What Specifically to Do About It</w:t>
      </w:r>
    </w:p>
    <w:p>
      <w:pPr>
        <w:pBdr>
          <w:top w:val="single" w:color="C9A84C" w:sz="2"/>
          <w:bottom w:val="single" w:color="C9A84C" w:sz="2"/>
        </w:pBdr>
        <w:spacing w:after="40" w:before="40"/>
        <w:jc w:val="center"/>
      </w:pPr>
      <w:r>
        <w:rPr>
          <w:rFonts w:ascii="Arial" w:cs="Arial" w:eastAsia="Arial" w:hAnsi="Arial"/>
          <w:color w:val="555555"/>
          <w:sz w:val="19"/>
          <w:szCs w:val="19"/>
        </w:rPr>
        <w:t xml:space="preserve">KP  |  Journal of Democratic Ethics and Civic Responsibility  |  2025</w:t>
      </w:r>
    </w:p>
    <w:p>
      <w:pPr>
        <w:spacing w:after="100" w:before="100"/>
      </w:pPr>
      <w:r>
        <w:t xml:space="preserve"/>
      </w:r>
    </w:p>
    <w:p>
      <w:pPr>
        <w:pBdr>
          <w:top w:val="single" w:color="C9A84C" w:sz="4"/>
          <w:bottom w:val="single" w:color="DDDDDD" w:sz="2"/>
          <w:left w:val="single" w:color="C9A84C" w:sz="16"/>
        </w:pBdr>
        <w:spacing w:after="0" w:before="140"/>
        <w:ind w:left="340"/>
      </w:pPr>
      <w:r>
        <w:rPr>
          <w:rFonts w:ascii="Arial" w:cs="Arial" w:eastAsia="Arial" w:hAnsi="Arial"/>
          <w:b/>
          <w:bCs/>
          <w:color w:val="C9A84C"/>
          <w:sz w:val="19"/>
          <w:szCs w:val="19"/>
        </w:rPr>
        <w:t xml:space="preserve">ABSTRACT</w:t>
      </w:r>
    </w:p>
    <w:p>
      <w:pPr>
        <w:pBdr>
          <w:bottom w:val="single" w:color="DDDDDD" w:sz="2"/>
          <w:left w:val="single" w:color="C9A84C" w:sz="16"/>
        </w:pBdr>
        <w:spacing w:after="0" w:before="50"/>
        <w:ind w:left="340" w:right="340"/>
        <w:jc w:val="both"/>
      </w:pPr>
      <w:r>
        <w:rPr>
          <w:rFonts w:ascii="Georgia" w:cs="Georgia" w:eastAsia="Georgia" w:hAnsi="Georgia"/>
          <w:color w:val="333333"/>
          <w:sz w:val="21"/>
          <w:szCs w:val="21"/>
        </w:rPr>
        <w:t xml:space="preserve">This paper makes a single argument: that the most urgent and morally defensible response to documented systemic corruption is not violence, not silence, and not despair — but organized, legal, relentless civic accountability. It does not argue for forgiveness. Capital punishment, impeachment, criminal prosecution, and the full force of democratic law are legitimate and necessary instruments of justice that have been systematically underutilized. The paper draws on the theological traditions of Christian and Catholic moral philosophy, with reference to parallel principles in Jewish and Islamic teaching; the historical strategic record of nonviolent resistance demonstrating that it succeeds at twice the rate of violent campaigns; the constitutional foundation of the people's right to alter government that has abandoned its obligations; the specific obligations of military and law enforcement personnel whose oath is to the Constitution rather than to any individual; and the international community of democratic interest that would support a genuine, nonviolent, constitutionally grounded American reform movement. It employs the Overton Window to explain the mechanism of managed ignorance. It includes personal testimony grounding each documented failure in human cost. It concludes with a specific numbered action framework. The enemy identified throughout is not a people, a religion, or an ethnicity. It is a specific class of institutional behavior that has occupied different bodies in different eras while operating through the same mechanism: concentrated power, insulated from accountability, using division to prevent the solidarity that would threaten it.</w:t>
      </w:r>
    </w:p>
    <w:p>
      <w:pPr>
        <w:pBdr>
          <w:bottom w:val="single" w:color="C9A84C" w:sz="4"/>
          <w:left w:val="single" w:color="C9A84C" w:sz="16"/>
        </w:pBdr>
        <w:spacing w:after="140" w:before="50"/>
        <w:ind w:left="340" w:right="340"/>
      </w:pPr>
      <w:r>
        <w:rPr>
          <w:rFonts w:ascii="Arial" w:cs="Arial" w:eastAsia="Arial" w:hAnsi="Arial"/>
          <w:b/>
          <w:bCs/>
          <w:color w:val="C9A84C"/>
          <w:sz w:val="19"/>
          <w:szCs w:val="19"/>
        </w:rPr>
        <w:t xml:space="preserve">Keywords: </w:t>
      </w:r>
      <w:r>
        <w:rPr>
          <w:rFonts w:ascii="Georgia" w:cs="Georgia" w:eastAsia="Georgia" w:hAnsi="Georgia"/>
          <w:color w:val="555555"/>
          <w:sz w:val="19"/>
          <w:szCs w:val="19"/>
        </w:rPr>
        <w:t xml:space="preserve">nonviolent resistance, civic obligation, Christian ethics, Just War, military oath, Nuremberg, Overton Window, constitutional rights, human solidarity, accountability</w:t>
      </w:r>
    </w:p>
    <w:p>
      <w:pPr>
        <w:spacing w:after="100" w:before="100"/>
      </w:pPr>
      <w:r>
        <w:t xml:space="preserve"/>
      </w:r>
    </w:p>
    <w:p>
      <w:pPr>
        <w:pStyle w:val="Heading1"/>
        <w:pBdr>
          <w:bottom w:val="single" w:color="C9A84C" w:sz="6" w:space="7"/>
        </w:pBdr>
        <w:spacing w:after="160" w:before="500"/>
      </w:pPr>
      <w:r>
        <w:rPr>
          <w:rFonts w:ascii="Arial" w:cs="Arial" w:eastAsia="Arial" w:hAnsi="Arial"/>
          <w:b/>
          <w:bCs/>
          <w:color w:val="0D1B2A"/>
          <w:sz w:val="30"/>
          <w:szCs w:val="30"/>
        </w:rPr>
        <w:t xml:space="preserve">I. The Human Cost Behind the Numbers</w:t>
      </w:r>
    </w:p>
    <w:p>
      <w:pPr>
        <w:spacing w:after="220" w:before="0" w:line="390"/>
        <w:jc w:val="both"/>
      </w:pPr>
      <w:r>
        <w:rPr>
          <w:rFonts w:ascii="Georgia" w:cs="Georgia" w:eastAsia="Georgia" w:hAnsi="Georgia"/>
          <w:color w:val="2C2C2C"/>
          <w:sz w:val="24"/>
          <w:szCs w:val="24"/>
        </w:rPr>
        <w:t xml:space="preserve">Before the argument begins, three people deserve to be named rather than counted.</w:t>
      </w:r>
    </w:p>
    <w:p>
      <w:pPr>
        <w:spacing w:after="220" w:before="0" w:line="390"/>
        <w:jc w:val="both"/>
      </w:pPr>
      <w:r>
        <w:rPr>
          <w:rFonts w:ascii="Georgia" w:cs="Georgia" w:eastAsia="Georgia" w:hAnsi="Georgia"/>
          <w:color w:val="2C2C2C"/>
          <w:sz w:val="24"/>
          <w:szCs w:val="24"/>
        </w:rPr>
        <w:t xml:space="preserve">Maria, a diabetic in Phoenix, Arizona, began rationing her insulin in 2018 because her insurance no longer covered it at the price her pharmacy charged. She stretched a thirty-day supply to sixty days. She was hospitalized in August of that year with diabetic ketoacidosis — a preventable, entirely avoidable medical emergency caused by insufficient insulin. Her hospital bill for the three-day stay was $47,000. The insulin she had been rationing costs $3 to manufacture and sells for $30 in Canada. [1]</w:t>
      </w:r>
    </w:p>
    <w:p>
      <w:pPr>
        <w:spacing w:after="220" w:before="0" w:line="390"/>
        <w:jc w:val="both"/>
      </w:pPr>
      <w:r>
        <w:rPr>
          <w:rFonts w:ascii="Georgia" w:cs="Georgia" w:eastAsia="Georgia" w:hAnsi="Georgia"/>
          <w:color w:val="2C2C2C"/>
          <w:sz w:val="24"/>
          <w:szCs w:val="24"/>
        </w:rPr>
        <w:t xml:space="preserve">James Ennes, a lieutenant aboard the USS Liberty on June 8, 1967, watched thirty-four of his shipmates die in an attack on a clearly marked American vessel. He spent the subsequent decades trying to get a congressional investigation opened. No investigation was ever opened. He wrote a book. He gave testimony. He watched the senior legal counsel of the investigating body sign a sworn affidavit stating the investigation had been ordered to reach a specific conclusion before examining the evidence. He died in 2020 without seeing accountability. [2]</w:t>
      </w:r>
    </w:p>
    <w:p>
      <w:pPr>
        <w:spacing w:after="220" w:before="0" w:line="390"/>
        <w:jc w:val="both"/>
      </w:pPr>
      <w:r>
        <w:rPr>
          <w:rFonts w:ascii="Georgia" w:cs="Georgia" w:eastAsia="Georgia" w:hAnsi="Georgia"/>
          <w:color w:val="2C2C2C"/>
          <w:sz w:val="24"/>
          <w:szCs w:val="24"/>
        </w:rPr>
        <w:t xml:space="preserve">A 24-year-old in Chicago graduates with $58,000 in student loan debt for a degree that qualifies him for positions paying $35,000 per year. He cannot afford to move out of his parents' house. He cannot save for a down payment. He cannot take the entrepreneurial risk he was told his degree would enable. He is not a failure. He is the intended output of a system designed to deliver a financially constrained, compliance-oriented workforce to employers at the moment of maximum vulnerability. [3]</w:t>
      </w:r>
    </w:p>
    <w:p>
      <w:pPr>
        <w:spacing w:after="220" w:before="0" w:line="390"/>
        <w:jc w:val="both"/>
      </w:pPr>
      <w:r>
        <w:rPr>
          <w:rFonts w:ascii="Georgia" w:cs="Georgia" w:eastAsia="Georgia" w:hAnsi="Georgia"/>
          <w:color w:val="2C2C2C"/>
          <w:sz w:val="24"/>
          <w:szCs w:val="24"/>
        </w:rPr>
        <w:t xml:space="preserve">These are not statistics. They are the human cost of the documented institutional failures described in the papers accompanying this one. Keeping that cost in view — in the face of every argument for patience, moderation, or the acceptance that this is just how things work — is the moral foundation of everything that follows.</w:t>
      </w:r>
    </w:p>
    <w:p>
      <w:pPr>
        <w:pBdr>
          <w:top w:val="single" w:color="DDD0A0" w:sz="2" w:space="5"/>
          <w:bottom w:val="single" w:color="DDD0A0" w:sz="2" w:space="5"/>
          <w:left w:val="single" w:color="C9A84C" w:sz="26" w:space="14"/>
        </w:pBdr>
        <w:shd w:fill="FDFBF2" w:val="clear"/>
        <w:spacing w:after="220" w:before="200" w:line="370"/>
        <w:ind w:left="460" w:right="460"/>
      </w:pPr>
      <w:r>
        <w:rPr>
          <w:rFonts w:ascii="Georgia" w:cs="Georgia" w:eastAsia="Georgia" w:hAnsi="Georgia"/>
          <w:color w:val="0D1B2A"/>
          <w:sz w:val="23"/>
          <w:szCs w:val="23"/>
        </w:rPr>
        <w:t xml:space="preserve">The specific identity of the powerful actor changes across time and context. In one era it is a monarchy. In another it is a colonial corporation. In another it is a financial cartel, a media conglomerate, a captured regulatory agency, or a foreign-funded lobbying organization. The name changes. The mechanism does not. Concentrated power, insulated from accountability, will always use the same tools: divide the population, manage their information, debt-bind their labor, and deploy whichever cultural framework most conveniently justifies the arrangement. Understanding this is not about identifying a villain. It is about identifying a pattern. The pattern is what must be dismantled.</w:t>
      </w:r>
    </w:p>
    <w:p>
      <w:pPr>
        <w:pStyle w:val="Heading1"/>
        <w:pBdr>
          <w:bottom w:val="single" w:color="C9A84C" w:sz="6" w:space="7"/>
        </w:pBdr>
        <w:spacing w:after="160" w:before="500"/>
      </w:pPr>
      <w:r>
        <w:rPr>
          <w:rFonts w:ascii="Arial" w:cs="Arial" w:eastAsia="Arial" w:hAnsi="Arial"/>
          <w:b/>
          <w:bCs/>
          <w:color w:val="0D1B2A"/>
          <w:sz w:val="30"/>
          <w:szCs w:val="30"/>
        </w:rPr>
        <w:t xml:space="preserve">II. The Oldest Pattern: How Legitimate Grievance Becomes Atrocity</w:t>
      </w:r>
    </w:p>
    <w:p>
      <w:pPr>
        <w:spacing w:after="220" w:before="0" w:line="390"/>
        <w:jc w:val="both"/>
      </w:pPr>
      <w:r>
        <w:rPr>
          <w:rFonts w:ascii="Georgia" w:cs="Georgia" w:eastAsia="Georgia" w:hAnsi="Georgia"/>
          <w:color w:val="2C2C2C"/>
          <w:sz w:val="24"/>
          <w:szCs w:val="24"/>
        </w:rPr>
        <w:t xml:space="preserve">Every mass atrocity in recorded human history was carried out by people who believed they were correcting a wrong. The Crusaders believed they were liberating sacred land. The Inquisitors believed they were purifying the faith. The architects of the Holocaust believed they were defending civilization. The perpetrators of the Holodomor believed they were advancing historical progress. Not one of these groups understood themselves as villains. Every one of them understood themselves as victims who had finally decided to act. [4]</w:t>
      </w:r>
    </w:p>
    <w:p>
      <w:pPr>
        <w:spacing w:after="220" w:before="0" w:line="390"/>
        <w:jc w:val="both"/>
      </w:pPr>
      <w:r>
        <w:rPr>
          <w:rFonts w:ascii="Georgia" w:cs="Georgia" w:eastAsia="Georgia" w:hAnsi="Georgia"/>
          <w:color w:val="2C2C2C"/>
          <w:sz w:val="24"/>
          <w:szCs w:val="24"/>
        </w:rPr>
        <w:t xml:space="preserve">This is the most dangerous pattern in human political history. It is activated every time a population with real grievances is given a human target and permission for violence. The moment the logic shifts from holding specific documented institutions accountable through law to directing violence at a people, a religion, or a national group, the person making that shift has joined the atrocity catalogue — regardless of how real the original grievance was.</w:t>
      </w:r>
    </w:p>
    <w:p>
      <w:pPr>
        <w:pBdr>
          <w:top w:val="single" w:color="DDD0A0" w:sz="2" w:space="5"/>
          <w:bottom w:val="single" w:color="DDD0A0" w:sz="2" w:space="5"/>
          <w:left w:val="single" w:color="C9A84C" w:sz="26" w:space="14"/>
        </w:pBdr>
        <w:shd w:fill="FDFBF2" w:val="clear"/>
        <w:spacing w:after="220" w:before="200" w:line="370"/>
        <w:ind w:left="460" w:right="460"/>
      </w:pPr>
      <w:r>
        <w:rPr>
          <w:rFonts w:ascii="Georgia" w:cs="Georgia" w:eastAsia="Georgia" w:hAnsi="Georgia"/>
          <w:color w:val="0D1B2A"/>
          <w:sz w:val="23"/>
          <w:szCs w:val="23"/>
        </w:rPr>
        <w:t xml:space="preserve">Being right about the injustice does not make you right about the response. History is full of people who were completely correct about what was being done to them and completely catastrophic in what they chose to do about it. The moral question is not only what was done to you. It is what you choose to become in response.</w:t>
      </w:r>
    </w:p>
    <w:p>
      <w:pPr>
        <w:spacing w:after="220" w:before="0" w:line="390"/>
        <w:jc w:val="both"/>
      </w:pPr>
      <w:r>
        <w:rPr>
          <w:rFonts w:ascii="Georgia" w:cs="Georgia" w:eastAsia="Georgia" w:hAnsi="Georgia"/>
          <w:color w:val="2C2C2C"/>
          <w:sz w:val="24"/>
          <w:szCs w:val="24"/>
        </w:rPr>
        <w:t xml:space="preserve">This paper is not an argument for passivity or forgiveness. It is an argument for the specific, legally grounded, politically effective forms of accountability that have consistently outperformed violence in every measured historical comparison. It is also an argument that the time to exercise those forms of accountability is now — not when it is more convenient, not when someone else starts, not when the conditions feel right.</w:t>
      </w:r>
    </w:p>
    <w:p>
      <w:pPr>
        <w:pStyle w:val="Heading1"/>
        <w:pBdr>
          <w:bottom w:val="single" w:color="C9A84C" w:sz="6" w:space="7"/>
        </w:pBdr>
        <w:spacing w:after="160" w:before="500"/>
      </w:pPr>
      <w:r>
        <w:rPr>
          <w:rFonts w:ascii="Arial" w:cs="Arial" w:eastAsia="Arial" w:hAnsi="Arial"/>
          <w:b/>
          <w:bCs/>
          <w:color w:val="0D1B2A"/>
          <w:sz w:val="30"/>
          <w:szCs w:val="30"/>
        </w:rPr>
        <w:t xml:space="preserve">III. The Overton Window: Why You Were Never Told</w:t>
      </w:r>
    </w:p>
    <w:p>
      <w:pPr>
        <w:spacing w:after="220" w:before="0" w:line="390"/>
        <w:jc w:val="both"/>
      </w:pPr>
      <w:r>
        <w:rPr>
          <w:rFonts w:ascii="Georgia" w:cs="Georgia" w:eastAsia="Georgia" w:hAnsi="Georgia"/>
          <w:color w:val="2C2C2C"/>
          <w:sz w:val="24"/>
          <w:szCs w:val="24"/>
        </w:rPr>
        <w:t xml:space="preserve">Joseph Overton's concept of the Overton Window describes the range of ideas that can be discussed in mainstream political discourse at any given moment without the speaker being dismissed as extreme. [5] The window's position is not naturally determined. It reflects the resources available to institutional actors with interests in keeping specific ideas outside acceptable discussion. Operation Mockingbird — the documented CIA program to place over 400 journalists on agency payrolls — is one mechanism through which that window has been actively managed. [6] Media consolidation from fifty independent companies to six corporations is another. [7]</w:t>
      </w:r>
    </w:p>
    <w:p>
      <w:pPr>
        <w:spacing w:after="220" w:before="0" w:line="390"/>
        <w:jc w:val="both"/>
      </w:pPr>
      <w:r>
        <w:rPr>
          <w:rFonts w:ascii="Georgia" w:cs="Georgia" w:eastAsia="Georgia" w:hAnsi="Georgia"/>
          <w:color w:val="2C2C2C"/>
          <w:sz w:val="24"/>
          <w:szCs w:val="24"/>
        </w:rPr>
        <w:t xml:space="preserve">The documented facts in this body of work — the Kuntillet Ajrud inscriptions, the FARA hearings, the USS Liberty investigation cover-up, the trans fat regulatory delay death count, the Facebook algorithm research — have all been reported somewhere, at some point, accurately. All have effectively disappeared from mainstream political conversation. That disappearance is the window operating. Understanding that the window is managed — that your prior ignorance of these facts was produced rather than natural — is not a reason for self-blame. It is a reason for directed action. You were not kept ignorant because you were incapable of understanding. You were kept ignorant because understanding would have been inconvenient for specific institutional actors. Now you know. That changes your obligation.</w:t>
      </w:r>
    </w:p>
    <w:p>
      <w:pPr>
        <w:pStyle w:val="Heading1"/>
        <w:pBdr>
          <w:bottom w:val="single" w:color="C9A84C" w:sz="6" w:space="7"/>
        </w:pBdr>
        <w:spacing w:after="160" w:before="500"/>
      </w:pPr>
      <w:r>
        <w:rPr>
          <w:rFonts w:ascii="Arial" w:cs="Arial" w:eastAsia="Arial" w:hAnsi="Arial"/>
          <w:b/>
          <w:bCs/>
          <w:color w:val="0D1B2A"/>
          <w:sz w:val="30"/>
          <w:szCs w:val="30"/>
        </w:rPr>
        <w:t xml:space="preserve">IV. The Theological Foundation: What the Faith Actually Requires</w:t>
      </w:r>
    </w:p>
    <w:p>
      <w:pPr>
        <w:spacing w:after="220" w:before="0" w:line="390"/>
        <w:jc w:val="both"/>
      </w:pPr>
      <w:r>
        <w:rPr>
          <w:rFonts w:ascii="Georgia" w:cs="Georgia" w:eastAsia="Georgia" w:hAnsi="Georgia"/>
          <w:color w:val="2C2C2C"/>
          <w:sz w:val="24"/>
          <w:szCs w:val="24"/>
        </w:rPr>
        <w:t xml:space="preserve">The moral case for pursuing justice through law rather than violence is not a modern political preference. It is the consensus of every serious theological tradition this civilization has produced.</w:t>
      </w:r>
    </w:p>
    <w:p>
      <w:pPr>
        <w:pStyle w:val="Heading2"/>
        <w:spacing w:after="110" w:before="340"/>
      </w:pPr>
      <w:r>
        <w:rPr>
          <w:rFonts w:ascii="Arial" w:cs="Arial" w:eastAsia="Arial" w:hAnsi="Arial"/>
          <w:b/>
          <w:bCs/>
          <w:color w:val="8B1A1A"/>
          <w:sz w:val="25"/>
          <w:szCs w:val="25"/>
        </w:rPr>
        <w:t xml:space="preserve">IV.A. The Christian and Catholic Tradition</w:t>
      </w:r>
    </w:p>
    <w:p>
      <w:pPr>
        <w:spacing w:after="220" w:before="0" w:line="390"/>
        <w:jc w:val="both"/>
      </w:pPr>
      <w:r>
        <w:rPr>
          <w:rFonts w:ascii="Georgia" w:cs="Georgia" w:eastAsia="Georgia" w:hAnsi="Georgia"/>
          <w:color w:val="2C2C2C"/>
          <w:sz w:val="24"/>
          <w:szCs w:val="24"/>
        </w:rPr>
        <w:t xml:space="preserve">Romans 12:19 instructs: never avenge yourselves, but leave it to the wrath of God; for it is written, Vengeance is mine, I will repay, says the Lord. [8] This is not an instruction to accept injustice. It is a transfer of the function of ultimate retribution to divine authority, freeing the human being from the corrupting burden of personal vengeance and enabling the pursuit of justice through legitimate means. Matthew 5:44 instructs love for enemies — not because those enemies have done nothing wrong, but because the moral authority from which genuine change becomes possible depends on the character of the one pursuing it.</w:t>
      </w:r>
    </w:p>
    <w:p>
      <w:pPr>
        <w:spacing w:after="220" w:before="0" w:line="390"/>
        <w:jc w:val="both"/>
      </w:pPr>
      <w:r>
        <w:rPr>
          <w:rFonts w:ascii="Georgia" w:cs="Georgia" w:eastAsia="Georgia" w:hAnsi="Georgia"/>
          <w:color w:val="2C2C2C"/>
          <w:sz w:val="24"/>
          <w:szCs w:val="24"/>
        </w:rPr>
        <w:t xml:space="preserve">Thomas Aquinas established in the Summa Theologica that an unjust law is no law at all — lex iniusta non est lex — and that citizens have a positive obligation to resist laws violating natural law and human dignity. [9] Augustine's City of God argued that earthly governments derive their legitimacy from their orientation toward justice, and that a government systematically arranged toward exploitation has forfeited its claim to the obedience of citizens of conscience. [10] Martin Luther, at the Diet of Worms in 1521, established the Protestant principle that institutional authority does not override the individual conscience before God. [11] Martin Luther King cited Augustine and Aquinas by name in his Letter from Birmingham Jail when explaining why he was willing to disobey unjust laws. [12] The lineage is unbroken. This is the mainstream Christian political tradition, applied to the conditions it was always designed to address.</w:t>
      </w:r>
    </w:p>
    <w:p>
      <w:pPr>
        <w:spacing w:after="220" w:before="0" w:line="390"/>
        <w:jc w:val="both"/>
      </w:pPr>
      <w:r>
        <w:rPr>
          <w:rFonts w:ascii="Georgia" w:cs="Georgia" w:eastAsia="Georgia" w:hAnsi="Georgia"/>
          <w:color w:val="2C2C2C"/>
          <w:sz w:val="24"/>
          <w:szCs w:val="24"/>
        </w:rPr>
        <w:t xml:space="preserve">The Catholic Catechism affirms that citizens have not only the right but in some circumstances the duty to resist government authority that violates natural law — while specifying that resistance must be nonviolent where possible and must not introduce greater disorder than the evil it opposes. [13] The United States Conference of Catholic Bishops has affirmed in multiple pastoral letters that structural injustice — systemic harm embedded in economic, political, and legal arrangements — is as morally serious as individual violence, and that the pursuit of social justice is a fundamental Christian obligation. [14]</w:t>
      </w:r>
    </w:p>
    <w:p>
      <w:pPr>
        <w:pStyle w:val="Heading2"/>
        <w:spacing w:after="110" w:before="340"/>
      </w:pPr>
      <w:r>
        <w:rPr>
          <w:rFonts w:ascii="Arial" w:cs="Arial" w:eastAsia="Arial" w:hAnsi="Arial"/>
          <w:b/>
          <w:bCs/>
          <w:color w:val="8B1A1A"/>
          <w:sz w:val="25"/>
          <w:szCs w:val="25"/>
        </w:rPr>
        <w:t xml:space="preserve">IV.B. The Parallel Witness</w:t>
      </w:r>
    </w:p>
    <w:p>
      <w:pPr>
        <w:spacing w:after="220" w:before="0" w:line="390"/>
        <w:jc w:val="both"/>
      </w:pPr>
      <w:r>
        <w:rPr>
          <w:rFonts w:ascii="Georgia" w:cs="Georgia" w:eastAsia="Georgia" w:hAnsi="Georgia"/>
          <w:color w:val="2C2C2C"/>
          <w:sz w:val="24"/>
          <w:szCs w:val="24"/>
        </w:rPr>
        <w:t xml:space="preserve">The Jewish Talmudic tradition teaches in Sanhedrin 37a that whoever destroys a single life it is as if they have destroyed an entire world, and whoever saves a single life it is as if they have saved an entire world. [15] The Islamic Quran states in Surah 5:32, in a passage directly parallel to the Talmudic teaching, that to kill one innocent soul is as if you have killed all of humanity, and to save one soul is as if you have saved all of humanity. [16] These are not peripheral verses deployed diplomatically. They are foundational moral statements about the value of human life that every tradition reaching back to them must account for in any claim to moral seriousness. The consensus across all three Abrahamic traditions is complete: the value of a human life is not diminished by what that person's institutions or leaders have done. The method of pursuing justice is constrained by this value.</w:t>
      </w:r>
    </w:p>
    <w:p>
      <w:pPr>
        <w:pStyle w:val="Heading1"/>
        <w:pBdr>
          <w:bottom w:val="single" w:color="C9A84C" w:sz="6" w:space="7"/>
        </w:pBdr>
        <w:spacing w:after="160" w:before="500"/>
      </w:pPr>
      <w:r>
        <w:rPr>
          <w:rFonts w:ascii="Arial" w:cs="Arial" w:eastAsia="Arial" w:hAnsi="Arial"/>
          <w:b/>
          <w:bCs/>
          <w:color w:val="0D1B2A"/>
          <w:sz w:val="30"/>
          <w:szCs w:val="30"/>
        </w:rPr>
        <w:t xml:space="preserve">V. The Strategic Record: Nonviolence Wins More Often</w:t>
      </w:r>
    </w:p>
    <w:p>
      <w:pPr>
        <w:spacing w:after="220" w:before="0" w:line="390"/>
        <w:jc w:val="both"/>
      </w:pPr>
      <w:r>
        <w:rPr>
          <w:rFonts w:ascii="Georgia" w:cs="Georgia" w:eastAsia="Georgia" w:hAnsi="Georgia"/>
          <w:color w:val="2C2C2C"/>
          <w:sz w:val="24"/>
          <w:szCs w:val="24"/>
        </w:rPr>
        <w:t xml:space="preserve">Erica Chenoweth and Maria Stephan's statistical analysis of 323 resistance campaigns from 1900 to 2006 found that nonviolent campaigns succeeded at approximately twice the rate of violent ones. [17] This is not a moral argument. It is an empirical one. Nonviolent campaigns tend to attract broader participation across demographic groups, which increases the political cost of the arrangement being challenged. They deny the target the justification for crackdown that violent resistance provides. They build the kind of broad public legitimacy that any lasting structural change requires.</w:t>
      </w:r>
    </w:p>
    <w:p>
      <w:pPr>
        <w:spacing w:after="220" w:before="0" w:line="390"/>
        <w:jc w:val="both"/>
      </w:pPr>
      <w:r>
        <w:rPr>
          <w:rFonts w:ascii="Georgia" w:cs="Georgia" w:eastAsia="Georgia" w:hAnsi="Georgia"/>
          <w:color w:val="2C2C2C"/>
          <w:sz w:val="24"/>
          <w:szCs w:val="24"/>
        </w:rPr>
        <w:t xml:space="preserve">Frederick Douglass chose to use the constitutional system of the country that had enslaved him as the instrument of its own correction — not because he was naive about what the system had done to him, but because he understood that the system's own stated principles were more powerful than the interests of the people who had violated them, if organized political pressure forced the reckoning. [18] King drew on Augustine and Aquinas to explain why he would disobey unjust laws through open, loving, legally consequenced civil disobedience rather than violence. [12] Gandhi's satyagraha — truth-force — was not passivity. It was the strategic use of moral clarity to make the cost of maintaining injustice higher than the cost of ending it. [19] These are not idealists. They are strategists with documented records of success against opponents who had every material advantage.</w:t>
      </w:r>
    </w:p>
    <w:p>
      <w:pPr>
        <w:pStyle w:val="Heading1"/>
        <w:pBdr>
          <w:bottom w:val="single" w:color="C9A84C" w:sz="6" w:space="7"/>
        </w:pBdr>
        <w:spacing w:after="160" w:before="500"/>
      </w:pPr>
      <w:r>
        <w:rPr>
          <w:rFonts w:ascii="Arial" w:cs="Arial" w:eastAsia="Arial" w:hAnsi="Arial"/>
          <w:b/>
          <w:bCs/>
          <w:color w:val="0D1B2A"/>
          <w:sz w:val="30"/>
          <w:szCs w:val="30"/>
        </w:rPr>
        <w:t xml:space="preserve">VI. The Constitutional Foundation: What the Founders Said About Tyranny</w:t>
      </w:r>
    </w:p>
    <w:p>
      <w:pPr>
        <w:spacing w:after="220" w:before="0" w:line="390"/>
        <w:jc w:val="both"/>
      </w:pPr>
      <w:r>
        <w:rPr>
          <w:rFonts w:ascii="Georgia" w:cs="Georgia" w:eastAsia="Georgia" w:hAnsi="Georgia"/>
          <w:color w:val="2C2C2C"/>
          <w:sz w:val="24"/>
          <w:szCs w:val="24"/>
        </w:rPr>
        <w:t xml:space="preserve">The Declaration of Independence states that governments derive their just powers from the consent of the governed, and that whenever any form of government becomes destructive of the people's unalienable rights, it is the right of the people to alter or to abolish it and to institute new government. [20] This language was the considered position of men who had just done exactly that, and who believed the right was universal and permanent — not a historical exception but a standing condition of the relationship between any government and the people whose consent makes it legitimate.</w:t>
      </w:r>
    </w:p>
    <w:p>
      <w:pPr>
        <w:spacing w:after="220" w:before="0" w:line="390"/>
        <w:jc w:val="both"/>
      </w:pPr>
      <w:r>
        <w:rPr>
          <w:rFonts w:ascii="Georgia" w:cs="Georgia" w:eastAsia="Georgia" w:hAnsi="Georgia"/>
          <w:color w:val="2C2C2C"/>
          <w:sz w:val="24"/>
          <w:szCs w:val="24"/>
        </w:rPr>
        <w:t xml:space="preserve">The same founders built structural protections — including the Second Amendment — on the understanding that a self-sufficient citizenry is the ultimate check on governmental tyranny when all other checks have failed. This paper does not advocate for the invocation of that check. The civil instruments available — impeachment, prosecution, FOIA litigation, organized electoral pressure, constitutional amendment — are powerful, proven, and have not been exhausted. The point is more fundamental: the American people are not supplicants asking their government for permission to exist. They are the source from which the government's authority derives. That relationship has a condition. Governments that forget it tend to be reminded.</w:t>
      </w:r>
    </w:p>
    <w:p>
      <w:pPr>
        <w:spacing w:after="220" w:before="0" w:line="390"/>
        <w:jc w:val="both"/>
      </w:pPr>
      <w:r>
        <w:rPr>
          <w:rFonts w:ascii="Georgia" w:cs="Georgia" w:eastAsia="Georgia" w:hAnsi="Georgia"/>
          <w:color w:val="2C2C2C"/>
          <w:sz w:val="24"/>
          <w:szCs w:val="24"/>
        </w:rPr>
        <w:t xml:space="preserve">It is worth stating plainly: in any scenario in which an American government had genuinely and comprehensively abandoned the consent of its people, the arithmetic of that situation is not close. Three hundred and thirty million people. The highest rate of private firearm ownership on earth. A military whose members swear their oath to the Constitution and not to any individual. A global community of democratic nations with profound interests in the survival of American democratic institutions. No historical precedent supports the idea that such a government could sustain itself against a genuinely unified popular opposition. This is not a threat. It is a description of reality that should clarify why the civil path is not weakness — it is the approach most likely to produce lasting change at the lowest cost in human suffering.</w:t>
      </w:r>
    </w:p>
    <w:p>
      <w:pPr>
        <w:pStyle w:val="Heading1"/>
        <w:pBdr>
          <w:bottom w:val="single" w:color="C9A84C" w:sz="6" w:space="7"/>
        </w:pBdr>
        <w:spacing w:after="160" w:before="500"/>
      </w:pPr>
      <w:r>
        <w:rPr>
          <w:rFonts w:ascii="Arial" w:cs="Arial" w:eastAsia="Arial" w:hAnsi="Arial"/>
          <w:b/>
          <w:bCs/>
          <w:color w:val="0D1B2A"/>
          <w:sz w:val="30"/>
          <w:szCs w:val="30"/>
        </w:rPr>
        <w:t xml:space="preserve">VII. A Word to Those Who Serve: The Oath Is to the Constitution</w:t>
      </w:r>
    </w:p>
    <w:p>
      <w:pPr>
        <w:spacing w:after="220" w:before="0" w:line="390"/>
        <w:jc w:val="both"/>
      </w:pPr>
      <w:r>
        <w:rPr>
          <w:rFonts w:ascii="Georgia" w:cs="Georgia" w:eastAsia="Georgia" w:hAnsi="Georgia"/>
          <w:color w:val="2C2C2C"/>
          <w:sz w:val="24"/>
          <w:szCs w:val="24"/>
        </w:rPr>
        <w:t xml:space="preserve">Every member of the United States military swears: I do solemnly swear that I will support and defend the Constitution of the United States against all enemies, foreign and domestic; that I will bear true faith and allegiance to the same. [21] The oath is to the Constitution — not to the President, not to any party, not to any order. To the document that derives its authority from the consent of the governed.</w:t>
      </w:r>
    </w:p>
    <w:p>
      <w:pPr>
        <w:spacing w:after="220" w:before="0" w:line="390"/>
        <w:jc w:val="both"/>
      </w:pPr>
      <w:r>
        <w:rPr>
          <w:rFonts w:ascii="Georgia" w:cs="Georgia" w:eastAsia="Georgia" w:hAnsi="Georgia"/>
          <w:color w:val="2C2C2C"/>
          <w:sz w:val="24"/>
          <w:szCs w:val="24"/>
        </w:rPr>
        <w:t xml:space="preserve">The Nuremberg Principles, adopted by the United Nations General Assembly in 1950, hold that individuals bear obligations under international law that supersede the obligation to follow orders when those orders require participation in crimes against peace, war crimes, or crimes against humanity. [22] This principle has been applied in tribunals on five continents. Under the Uniform Code of Military Justice, obeying an unlawful order is itself a punishable offense. [23] The hierarchy of obligation is built into the legal structure of military service. It does not need to be imported. It needs only to be exercised.</w:t>
      </w:r>
    </w:p>
    <w:p>
      <w:pPr>
        <w:pBdr>
          <w:top w:val="single" w:color="DDD0A0" w:sz="2" w:space="5"/>
          <w:bottom w:val="single" w:color="DDD0A0" w:sz="2" w:space="5"/>
          <w:left w:val="single" w:color="C9A84C" w:sz="26" w:space="14"/>
        </w:pBdr>
        <w:shd w:fill="FDFBF2" w:val="clear"/>
        <w:spacing w:after="220" w:before="200" w:line="370"/>
        <w:ind w:left="460" w:right="460"/>
      </w:pPr>
      <w:r>
        <w:rPr>
          <w:rFonts w:ascii="Georgia" w:cs="Georgia" w:eastAsia="Georgia" w:hAnsi="Georgia"/>
          <w:color w:val="0D1B2A"/>
          <w:sz w:val="23"/>
          <w:szCs w:val="23"/>
        </w:rPr>
        <w:t xml:space="preserve">Military members are human beings first. They have families in the communities their decisions affect. They have children who will inherit the country their service either protects or enables the destruction of. The uniform does not remove the conscience and does not transfer the moral responsibility for choices made while wearing it to the person who gave the order. Every service member who has been asked to do something wrong faces the same essential question: am I a person with a conscience, or am I an instrument of someone else's will? The answer to that question, multiplied across millions of individuals in the specific moments it is demanded, is what determines the character of a nation.</w:t>
      </w:r>
    </w:p>
    <w:p>
      <w:pPr>
        <w:pStyle w:val="Heading1"/>
        <w:pBdr>
          <w:bottom w:val="single" w:color="C9A84C" w:sz="6" w:space="7"/>
        </w:pBdr>
        <w:spacing w:after="160" w:before="500"/>
      </w:pPr>
      <w:r>
        <w:rPr>
          <w:rFonts w:ascii="Arial" w:cs="Arial" w:eastAsia="Arial" w:hAnsi="Arial"/>
          <w:b/>
          <w:bCs/>
          <w:color w:val="0D1B2A"/>
          <w:sz w:val="30"/>
          <w:szCs w:val="30"/>
        </w:rPr>
        <w:t xml:space="preserve">VIII. The World Is Watching and Would Support Genuine Reform</w:t>
      </w:r>
    </w:p>
    <w:p>
      <w:pPr>
        <w:spacing w:after="220" w:before="0" w:line="390"/>
        <w:jc w:val="both"/>
      </w:pPr>
      <w:r>
        <w:rPr>
          <w:rFonts w:ascii="Georgia" w:cs="Georgia" w:eastAsia="Georgia" w:hAnsi="Georgia"/>
          <w:color w:val="2C2C2C"/>
          <w:sz w:val="24"/>
          <w:szCs w:val="24"/>
        </w:rPr>
        <w:t xml:space="preserve">Every democratic nation has a direct interest in the survival and genuine function of American democratic institutions. Not from naivety about American history but because the alternative — an America that has fully abandoned democratic accountability — would be more destabilizing to global order than any of the documented failures of the past decades. The Solidarity movement in Poland received international support. The anti-apartheid movement received international support. The democratic transitions in Eastern Europe received international support. In each case, the support was conditioned on the nonviolent and constitutional character of the movement — precisely the character this paper advocates. [24]</w:t>
      </w:r>
    </w:p>
    <w:p>
      <w:pPr>
        <w:spacing w:after="220" w:before="0" w:line="390"/>
        <w:jc w:val="both"/>
      </w:pPr>
      <w:r>
        <w:rPr>
          <w:rFonts w:ascii="Georgia" w:cs="Georgia" w:eastAsia="Georgia" w:hAnsi="Georgia"/>
          <w:color w:val="2C2C2C"/>
          <w:sz w:val="24"/>
          <w:szCs w:val="24"/>
        </w:rPr>
        <w:t xml:space="preserve">An American civic movement demonstrating through its discipline, documentation, and commitment to legal process that it is genuinely oriented toward constitutional accountability rather than factional vengeance would have the moral standing to invite and receive that solidarity. The world is already paying attention. It has been waiting for Americans to pay the same quality of attention to their own institutions that they have historically asked other populations to pay to theirs.</w:t>
      </w:r>
    </w:p>
    <w:p>
      <w:pPr>
        <w:pStyle w:val="Heading1"/>
        <w:pBdr>
          <w:bottom w:val="single" w:color="C9A84C" w:sz="6" w:space="7"/>
        </w:pBdr>
        <w:spacing w:after="160" w:before="500"/>
      </w:pPr>
      <w:r>
        <w:rPr>
          <w:rFonts w:ascii="Arial" w:cs="Arial" w:eastAsia="Arial" w:hAnsi="Arial"/>
          <w:b/>
          <w:bCs/>
          <w:color w:val="0D1B2A"/>
          <w:sz w:val="30"/>
          <w:szCs w:val="30"/>
        </w:rPr>
        <w:t xml:space="preserve">IX. The Universal Call: This Belongs to Every Human Being</w:t>
      </w:r>
    </w:p>
    <w:p>
      <w:pPr>
        <w:spacing w:after="220" w:before="0" w:line="390"/>
        <w:jc w:val="both"/>
      </w:pPr>
      <w:r>
        <w:rPr>
          <w:rFonts w:ascii="Georgia" w:cs="Georgia" w:eastAsia="Georgia" w:hAnsi="Georgia"/>
          <w:color w:val="2C2C2C"/>
          <w:sz w:val="24"/>
          <w:szCs w:val="24"/>
        </w:rPr>
        <w:t xml:space="preserve">Every person alive shares the same fundamental needs: safety, dignity, access to the truth about the conditions of their existence, and the opportunity to build something meaningful with the time they have. The systems documented in this body of work exist to frustrate those needs in the majority of people — because partial frustration is the mechanism that keeps labor flowing and compliance maintained. That is not an American arrangement. It is a human arrangement. The call to refuse it through law, through organization, through the relentless pursuit of accountability is a call to every human being in every country under every flag.</w:t>
      </w:r>
    </w:p>
    <w:p>
      <w:pPr>
        <w:spacing w:after="220" w:before="0" w:line="390"/>
        <w:jc w:val="both"/>
      </w:pPr>
      <w:r>
        <w:rPr>
          <w:rFonts w:ascii="Georgia" w:cs="Georgia" w:eastAsia="Georgia" w:hAnsi="Georgia"/>
          <w:color w:val="2C2C2C"/>
          <w:sz w:val="24"/>
          <w:szCs w:val="24"/>
        </w:rPr>
        <w:t xml:space="preserve">The enemy is not a people. It is not a religion. It is not an ethnicity or a nation. The enemy is a specific class of institutional behavior that has occupied different bodies in different eras while operating through the same mechanism: concentrated power, insulated from accountability, using the tribalism of identity to prevent the solidarity of humanity. That solidarity is the only thing it has ever truly feared. September 12th, 2001, proved it is available. Every labor movement that built the middle class proved it. Every civil rights movement that expanded the circle of civic membership proved it. It is available right now, to anyone who chooses it.</w:t>
      </w:r>
    </w:p>
    <w:p>
      <w:pPr>
        <w:pStyle w:val="Heading1"/>
        <w:pBdr>
          <w:bottom w:val="single" w:color="C9A84C" w:sz="6" w:space="7"/>
        </w:pBdr>
        <w:spacing w:after="160" w:before="500"/>
      </w:pPr>
      <w:r>
        <w:rPr>
          <w:rFonts w:ascii="Arial" w:cs="Arial" w:eastAsia="Arial" w:hAnsi="Arial"/>
          <w:b/>
          <w:bCs/>
          <w:color w:val="0D1B2A"/>
          <w:sz w:val="30"/>
          <w:szCs w:val="30"/>
        </w:rPr>
        <w:t xml:space="preserve">X. Specific Next Actions: What You Do Before You Close This Document</w:t>
      </w:r>
    </w:p>
    <w:p>
      <w:pPr>
        <w:spacing w:after="220" w:before="0" w:line="390"/>
        <w:jc w:val="both"/>
      </w:pPr>
      <w:r>
        <w:rPr>
          <w:rFonts w:ascii="Georgia" w:cs="Georgia" w:eastAsia="Georgia" w:hAnsi="Georgia"/>
          <w:color w:val="2C2C2C"/>
          <w:sz w:val="24"/>
          <w:szCs w:val="24"/>
        </w:rPr>
        <w:t xml:space="preserve">One: Go to opensecrets.org and look up your congressional representative's top campaign contributors and their voting record on pharmaceutical price negotiation. Both are public information. The correlation between the two is the first concrete piece of evidence of the system you have just been reading about, visible in the specific person representing you specifically.</w:t>
      </w:r>
    </w:p>
    <w:p>
      <w:pPr>
        <w:spacing w:after="220" w:before="0" w:line="390"/>
        <w:jc w:val="both"/>
      </w:pPr>
      <w:r>
        <w:rPr>
          <w:rFonts w:ascii="Georgia" w:cs="Georgia" w:eastAsia="Georgia" w:hAnsi="Georgia"/>
          <w:color w:val="2C2C2C"/>
          <w:sz w:val="24"/>
          <w:szCs w:val="24"/>
        </w:rPr>
        <w:t xml:space="preserve">Two: File one FOIA request at foia.gov. Request documents related to the 1963 Senate hearings on the American Zionist Council. The response — whether documents are provided, redacted, or withheld — tells you something specific about what the government believes it can still protect. That knowledge is itself information.</w:t>
      </w:r>
    </w:p>
    <w:p>
      <w:pPr>
        <w:spacing w:after="220" w:before="0" w:line="390"/>
        <w:jc w:val="both"/>
      </w:pPr>
      <w:r>
        <w:rPr>
          <w:rFonts w:ascii="Georgia" w:cs="Georgia" w:eastAsia="Georgia" w:hAnsi="Georgia"/>
          <w:color w:val="2C2C2C"/>
          <w:sz w:val="24"/>
          <w:szCs w:val="24"/>
        </w:rPr>
        <w:t xml:space="preserve">Three: Find one person in your life who is disengaged from civic life and have one specific, sourced, calm conversation with them about one fact from this body of work. Not an argument. A conversation. With a source you can show them.</w:t>
      </w:r>
    </w:p>
    <w:p>
      <w:pPr>
        <w:spacing w:after="220" w:before="0" w:line="390"/>
        <w:jc w:val="both"/>
      </w:pPr>
      <w:r>
        <w:rPr>
          <w:rFonts w:ascii="Georgia" w:cs="Georgia" w:eastAsia="Georgia" w:hAnsi="Georgia"/>
          <w:color w:val="2C2C2C"/>
          <w:sz w:val="24"/>
          <w:szCs w:val="24"/>
        </w:rPr>
        <w:t xml:space="preserve">Four: Identify the next local election in your jurisdiction and attend one candidate forum before it. The people making decisions that affect your daily life are in rooms that are usually half empty. Your presence is disproportionately influential at that level.</w:t>
      </w:r>
    </w:p>
    <w:p>
      <w:pPr>
        <w:spacing w:after="220" w:before="0" w:line="390"/>
        <w:jc w:val="both"/>
      </w:pPr>
      <w:r>
        <w:rPr>
          <w:rFonts w:ascii="Georgia" w:cs="Georgia" w:eastAsia="Georgia" w:hAnsi="Georgia"/>
          <w:color w:val="2C2C2C"/>
          <w:sz w:val="24"/>
          <w:szCs w:val="24"/>
        </w:rPr>
        <w:t xml:space="preserve">Five: Share this work with five people whose political views differ from yours. Not to convert them. To find the common ground that the manufactured tribalism has been designed to obscure. The common ground is almost always larger than the division.</w:t>
      </w:r>
    </w:p>
    <w:p>
      <w:pPr>
        <w:pBdr>
          <w:top w:val="single" w:color="DDD0A0" w:sz="2" w:space="5"/>
          <w:bottom w:val="single" w:color="DDD0A0" w:sz="2" w:space="5"/>
          <w:left w:val="single" w:color="C9A84C" w:sz="26" w:space="14"/>
        </w:pBdr>
        <w:shd w:fill="FDFBF2" w:val="clear"/>
        <w:spacing w:after="220" w:before="200" w:line="370"/>
        <w:ind w:left="460" w:right="460"/>
      </w:pPr>
      <w:r>
        <w:rPr>
          <w:rFonts w:ascii="Georgia" w:cs="Georgia" w:eastAsia="Georgia" w:hAnsi="Georgia"/>
          <w:color w:val="0D1B2A"/>
          <w:sz w:val="23"/>
          <w:szCs w:val="23"/>
        </w:rPr>
        <w:t xml:space="preserve">The distance between a person who is informed and a person who acts is almost always one specific action that feels smaller than the scale of the problem. The problem is large. The action does not need to match its scale. It needs to start the compound interest. Everything that has ever changed started with people doing things that felt too small for what they were trying to change. They did them anyway. So should you.</w:t>
      </w:r>
    </w:p>
    <w:p>
      <w:pPr>
        <w:spacing w:after="200" w:before="200"/>
      </w:pPr>
      <w:r>
        <w:t xml:space="preserve"/>
      </w:r>
    </w:p>
    <w:p>
      <w:pPr>
        <w:pBdr>
          <w:top w:val="single" w:color="C9A84C" w:sz="6"/>
          <w:bottom w:val="single" w:color="C9A84C" w:sz="6"/>
        </w:pBdr>
        <w:spacing w:after="160" w:before="160"/>
        <w:jc w:val="center"/>
      </w:pPr>
      <w:r>
        <w:rPr>
          <w:rFonts w:ascii="Georgia" w:cs="Georgia" w:eastAsia="Georgia" w:hAnsi="Georgia"/>
          <w:color w:val="0D1B2A"/>
          <w:sz w:val="22"/>
          <w:szCs w:val="22"/>
        </w:rPr>
        <w:t xml:space="preserve">The arc of the moral universe is long, but it bends toward justice.  —  Theodore Parker, cited by Martin Luther King Jr.</w:t>
      </w:r>
    </w:p>
    <w:p>
      <w:pPr>
        <w:spacing w:after="80" w:before="80"/>
      </w:pPr>
      <w:r>
        <w:t xml:space="preserve"/>
      </w:r>
    </w:p>
    <w:p>
      <w:pPr>
        <w:spacing w:after="80" w:before="0"/>
        <w:jc w:val="center"/>
      </w:pPr>
      <w:r>
        <w:rPr>
          <w:rFonts w:ascii="Georgia" w:cs="Georgia" w:eastAsia="Georgia" w:hAnsi="Georgia"/>
          <w:color w:val="555555"/>
          <w:sz w:val="22"/>
          <w:szCs w:val="22"/>
        </w:rPr>
        <w:t xml:space="preserve">Injustice anywhere is a threat to justice everywhere.  —  Martin Luther King Jr., Letter from Birmingham Jail (1963)</w:t>
      </w:r>
    </w:p>
    <w:p>
      <w:pPr>
        <w:spacing w:after="140" w:before="140"/>
      </w:pPr>
      <w:r>
        <w:t xml:space="preserve"/>
      </w:r>
    </w:p>
    <w:p>
      <w:pPr>
        <w:pStyle w:val="Heading1"/>
        <w:pBdr>
          <w:bottom w:val="single" w:color="C9A84C" w:sz="6" w:space="7"/>
        </w:pBdr>
        <w:spacing w:after="160" w:before="500"/>
      </w:pPr>
      <w:r>
        <w:rPr>
          <w:rFonts w:ascii="Arial" w:cs="Arial" w:eastAsia="Arial" w:hAnsi="Arial"/>
          <w:b/>
          <w:bCs/>
          <w:color w:val="0D1B2A"/>
          <w:sz w:val="30"/>
          <w:szCs w:val="30"/>
        </w:rPr>
        <w:t xml:space="preserve">References</w:t>
      </w:r>
    </w:p>
    <w:p>
      <w:pPr>
        <w:spacing w:after="80" w:before="80"/>
        <w:ind w:left="560" w:hanging="560"/>
      </w:pPr>
      <w:r>
        <w:rPr>
          <w:rFonts w:ascii="Arial" w:cs="Arial" w:eastAsia="Arial" w:hAnsi="Arial"/>
          <w:b/>
          <w:bCs/>
          <w:color w:val="C9A84C"/>
          <w:sz w:val="19"/>
          <w:szCs w:val="19"/>
        </w:rPr>
        <w:t xml:space="preserve">[1]  </w:t>
      </w:r>
      <w:r>
        <w:rPr>
          <w:rFonts w:ascii="Georgia" w:cs="Georgia" w:eastAsia="Georgia" w:hAnsi="Georgia"/>
          <w:color w:val="2C2C2C"/>
          <w:sz w:val="19"/>
          <w:szCs w:val="19"/>
        </w:rPr>
        <w:t xml:space="preserve">Rajkumar, S.V. (2020). The High Cost of Insulin in the United States: An Urgent Call to Action. Mayo Clinic Proceedings. | Luo, J. et al. (2020). Out-of-Pocket Insulin Costs. JAMA. Maria's story composite from documented cases in these and related studies.</w:t>
      </w:r>
    </w:p>
    <w:p>
      <w:pPr>
        <w:spacing w:after="80" w:before="80"/>
        <w:ind w:left="560" w:hanging="560"/>
      </w:pPr>
      <w:r>
        <w:rPr>
          <w:rFonts w:ascii="Arial" w:cs="Arial" w:eastAsia="Arial" w:hAnsi="Arial"/>
          <w:b/>
          <w:bCs/>
          <w:color w:val="C9A84C"/>
          <w:sz w:val="19"/>
          <w:szCs w:val="19"/>
        </w:rPr>
        <w:t xml:space="preserve">[2]  </w:t>
      </w:r>
      <w:r>
        <w:rPr>
          <w:rFonts w:ascii="Georgia" w:cs="Georgia" w:eastAsia="Georgia" w:hAnsi="Georgia"/>
          <w:color w:val="2C2C2C"/>
          <w:sz w:val="19"/>
          <w:szCs w:val="19"/>
        </w:rPr>
        <w:t xml:space="preserve">Ennes, J.M. (1979). Assault on the Liberty. Random House. | Ennes died January 2020. USS Liberty Veterans Association obituary.</w:t>
      </w:r>
    </w:p>
    <w:p>
      <w:pPr>
        <w:spacing w:after="80" w:before="80"/>
        <w:ind w:left="560" w:hanging="560"/>
      </w:pPr>
      <w:r>
        <w:rPr>
          <w:rFonts w:ascii="Arial" w:cs="Arial" w:eastAsia="Arial" w:hAnsi="Arial"/>
          <w:b/>
          <w:bCs/>
          <w:color w:val="C9A84C"/>
          <w:sz w:val="19"/>
          <w:szCs w:val="19"/>
        </w:rPr>
        <w:t xml:space="preserve">[3]  </w:t>
      </w:r>
      <w:r>
        <w:rPr>
          <w:rFonts w:ascii="Georgia" w:cs="Georgia" w:eastAsia="Georgia" w:hAnsi="Georgia"/>
          <w:color w:val="2C2C2C"/>
          <w:sz w:val="19"/>
          <w:szCs w:val="19"/>
        </w:rPr>
        <w:t xml:space="preserve">Federal Reserve Bank of New York. (2024). Student Loan Data. | National Center for Education Statistics. (2023). Starting salary data for bachelor degree holders.</w:t>
      </w:r>
    </w:p>
    <w:p>
      <w:pPr>
        <w:spacing w:after="80" w:before="80"/>
        <w:ind w:left="560" w:hanging="560"/>
      </w:pPr>
      <w:r>
        <w:rPr>
          <w:rFonts w:ascii="Arial" w:cs="Arial" w:eastAsia="Arial" w:hAnsi="Arial"/>
          <w:b/>
          <w:bCs/>
          <w:color w:val="C9A84C"/>
          <w:sz w:val="19"/>
          <w:szCs w:val="19"/>
        </w:rPr>
        <w:t xml:space="preserve">[4]  </w:t>
      </w:r>
      <w:r>
        <w:rPr>
          <w:rFonts w:ascii="Georgia" w:cs="Georgia" w:eastAsia="Georgia" w:hAnsi="Georgia"/>
          <w:color w:val="2C2C2C"/>
          <w:sz w:val="19"/>
          <w:szCs w:val="19"/>
        </w:rPr>
        <w:t xml:space="preserve">Zimbardo, P. (2007). The Lucifer Effect. Random House. | Arendt, H. (1963). Eichmann in Jerusalem. Viking Press.</w:t>
      </w:r>
    </w:p>
    <w:p>
      <w:pPr>
        <w:spacing w:after="80" w:before="80"/>
        <w:ind w:left="560" w:hanging="560"/>
      </w:pPr>
      <w:r>
        <w:rPr>
          <w:rFonts w:ascii="Arial" w:cs="Arial" w:eastAsia="Arial" w:hAnsi="Arial"/>
          <w:b/>
          <w:bCs/>
          <w:color w:val="C9A84C"/>
          <w:sz w:val="19"/>
          <w:szCs w:val="19"/>
        </w:rPr>
        <w:t xml:space="preserve">[5]  </w:t>
      </w:r>
      <w:r>
        <w:rPr>
          <w:rFonts w:ascii="Georgia" w:cs="Georgia" w:eastAsia="Georgia" w:hAnsi="Georgia"/>
          <w:color w:val="2C2C2C"/>
          <w:sz w:val="19"/>
          <w:szCs w:val="19"/>
        </w:rPr>
        <w:t xml:space="preserve">Overton, J. The Overton Window. Mackinac Center for Public Policy.</w:t>
      </w:r>
    </w:p>
    <w:p>
      <w:pPr>
        <w:spacing w:after="80" w:before="80"/>
        <w:ind w:left="560" w:hanging="560"/>
      </w:pPr>
      <w:r>
        <w:rPr>
          <w:rFonts w:ascii="Arial" w:cs="Arial" w:eastAsia="Arial" w:hAnsi="Arial"/>
          <w:b/>
          <w:bCs/>
          <w:color w:val="C9A84C"/>
          <w:sz w:val="19"/>
          <w:szCs w:val="19"/>
        </w:rPr>
        <w:t xml:space="preserve">[6]  </w:t>
      </w:r>
      <w:r>
        <w:rPr>
          <w:rFonts w:ascii="Georgia" w:cs="Georgia" w:eastAsia="Georgia" w:hAnsi="Georgia"/>
          <w:color w:val="2C2C2C"/>
          <w:sz w:val="19"/>
          <w:szCs w:val="19"/>
        </w:rPr>
        <w:t xml:space="preserve">Bernstein, C. (1977, October). The CIA and the Media. Rolling Stone. | Church Committee Final Report. (1975). [Declassified] US GPO.</w:t>
      </w:r>
    </w:p>
    <w:p>
      <w:pPr>
        <w:spacing w:after="80" w:before="80"/>
        <w:ind w:left="560" w:hanging="560"/>
      </w:pPr>
      <w:r>
        <w:rPr>
          <w:rFonts w:ascii="Arial" w:cs="Arial" w:eastAsia="Arial" w:hAnsi="Arial"/>
          <w:b/>
          <w:bCs/>
          <w:color w:val="C9A84C"/>
          <w:sz w:val="19"/>
          <w:szCs w:val="19"/>
        </w:rPr>
        <w:t xml:space="preserve">[7]  </w:t>
      </w:r>
      <w:r>
        <w:rPr>
          <w:rFonts w:ascii="Georgia" w:cs="Georgia" w:eastAsia="Georgia" w:hAnsi="Georgia"/>
          <w:color w:val="2C2C2C"/>
          <w:sz w:val="19"/>
          <w:szCs w:val="19"/>
        </w:rPr>
        <w:t xml:space="preserve">Lutz, A. (2012). These 6 Corporations Control 90% Of The Media In America. Business Insider.</w:t>
      </w:r>
    </w:p>
    <w:p>
      <w:pPr>
        <w:spacing w:after="80" w:before="80"/>
        <w:ind w:left="560" w:hanging="560"/>
      </w:pPr>
      <w:r>
        <w:rPr>
          <w:rFonts w:ascii="Arial" w:cs="Arial" w:eastAsia="Arial" w:hAnsi="Arial"/>
          <w:b/>
          <w:bCs/>
          <w:color w:val="C9A84C"/>
          <w:sz w:val="19"/>
          <w:szCs w:val="19"/>
        </w:rPr>
        <w:t xml:space="preserve">[8]  </w:t>
      </w:r>
      <w:r>
        <w:rPr>
          <w:rFonts w:ascii="Georgia" w:cs="Georgia" w:eastAsia="Georgia" w:hAnsi="Georgia"/>
          <w:color w:val="2C2C2C"/>
          <w:sz w:val="19"/>
          <w:szCs w:val="19"/>
        </w:rPr>
        <w:t xml:space="preserve">Romans 12:19 (ESV). | Matthew 5:9, 5:44 (ESV). | Luke 6:27-36 (ESV).</w:t>
      </w:r>
    </w:p>
    <w:p>
      <w:pPr>
        <w:spacing w:after="80" w:before="80"/>
        <w:ind w:left="560" w:hanging="560"/>
      </w:pPr>
      <w:r>
        <w:rPr>
          <w:rFonts w:ascii="Arial" w:cs="Arial" w:eastAsia="Arial" w:hAnsi="Arial"/>
          <w:b/>
          <w:bCs/>
          <w:color w:val="C9A84C"/>
          <w:sz w:val="19"/>
          <w:szCs w:val="19"/>
        </w:rPr>
        <w:t xml:space="preserve">[9]  </w:t>
      </w:r>
      <w:r>
        <w:rPr>
          <w:rFonts w:ascii="Georgia" w:cs="Georgia" w:eastAsia="Georgia" w:hAnsi="Georgia"/>
          <w:color w:val="2C2C2C"/>
          <w:sz w:val="19"/>
          <w:szCs w:val="19"/>
        </w:rPr>
        <w:t xml:space="preserve">Aquinas, T. (1265-1274). Summa Theologica, I-II, Q. 96, Art. 4.</w:t>
      </w:r>
    </w:p>
    <w:p>
      <w:pPr>
        <w:spacing w:after="80" w:before="80"/>
        <w:ind w:left="560" w:hanging="560"/>
      </w:pPr>
      <w:r>
        <w:rPr>
          <w:rFonts w:ascii="Arial" w:cs="Arial" w:eastAsia="Arial" w:hAnsi="Arial"/>
          <w:b/>
          <w:bCs/>
          <w:color w:val="C9A84C"/>
          <w:sz w:val="19"/>
          <w:szCs w:val="19"/>
        </w:rPr>
        <w:t xml:space="preserve">[10]  </w:t>
      </w:r>
      <w:r>
        <w:rPr>
          <w:rFonts w:ascii="Georgia" w:cs="Georgia" w:eastAsia="Georgia" w:hAnsi="Georgia"/>
          <w:color w:val="2C2C2C"/>
          <w:sz w:val="19"/>
          <w:szCs w:val="19"/>
        </w:rPr>
        <w:t xml:space="preserve">Augustine of Hippo. (413-426 CE). The City of God (H. Bettenson, Trans., 1972). Penguin Classics.</w:t>
      </w:r>
    </w:p>
    <w:p>
      <w:pPr>
        <w:spacing w:after="80" w:before="80"/>
        <w:ind w:left="560" w:hanging="560"/>
      </w:pPr>
      <w:r>
        <w:rPr>
          <w:rFonts w:ascii="Arial" w:cs="Arial" w:eastAsia="Arial" w:hAnsi="Arial"/>
          <w:b/>
          <w:bCs/>
          <w:color w:val="C9A84C"/>
          <w:sz w:val="19"/>
          <w:szCs w:val="19"/>
        </w:rPr>
        <w:t xml:space="preserve">[11]  </w:t>
      </w:r>
      <w:r>
        <w:rPr>
          <w:rFonts w:ascii="Georgia" w:cs="Georgia" w:eastAsia="Georgia" w:hAnsi="Georgia"/>
          <w:color w:val="2C2C2C"/>
          <w:sz w:val="19"/>
          <w:szCs w:val="19"/>
        </w:rPr>
        <w:t xml:space="preserve">Luther, M. (April 18, 1521). Speech at the Diet of Worms. In: Luther's Works, Vol. 32. Fortress Press.</w:t>
      </w:r>
    </w:p>
    <w:p>
      <w:pPr>
        <w:spacing w:after="80" w:before="80"/>
        <w:ind w:left="560" w:hanging="560"/>
      </w:pPr>
      <w:r>
        <w:rPr>
          <w:rFonts w:ascii="Arial" w:cs="Arial" w:eastAsia="Arial" w:hAnsi="Arial"/>
          <w:b/>
          <w:bCs/>
          <w:color w:val="C9A84C"/>
          <w:sz w:val="19"/>
          <w:szCs w:val="19"/>
        </w:rPr>
        <w:t xml:space="preserve">[12]  </w:t>
      </w:r>
      <w:r>
        <w:rPr>
          <w:rFonts w:ascii="Georgia" w:cs="Georgia" w:eastAsia="Georgia" w:hAnsi="Georgia"/>
          <w:color w:val="2C2C2C"/>
          <w:sz w:val="19"/>
          <w:szCs w:val="19"/>
        </w:rPr>
        <w:t xml:space="preserve">King, M.L. Jr. (April 16, 1963). Letter from Birmingham City Jail. In: Why We Can't Wait (1964). Harper &amp; Row.</w:t>
      </w:r>
    </w:p>
    <w:p>
      <w:pPr>
        <w:spacing w:after="80" w:before="80"/>
        <w:ind w:left="560" w:hanging="560"/>
      </w:pPr>
      <w:r>
        <w:rPr>
          <w:rFonts w:ascii="Arial" w:cs="Arial" w:eastAsia="Arial" w:hAnsi="Arial"/>
          <w:b/>
          <w:bCs/>
          <w:color w:val="C9A84C"/>
          <w:sz w:val="19"/>
          <w:szCs w:val="19"/>
        </w:rPr>
        <w:t xml:space="preserve">[13]  </w:t>
      </w:r>
      <w:r>
        <w:rPr>
          <w:rFonts w:ascii="Georgia" w:cs="Georgia" w:eastAsia="Georgia" w:hAnsi="Georgia"/>
          <w:color w:val="2C2C2C"/>
          <w:sz w:val="19"/>
          <w:szCs w:val="19"/>
        </w:rPr>
        <w:t xml:space="preserve">Catechism of the Catholic Church. (1994). Paragraphs 1897-1904 on political authority and resistance to unjust law.</w:t>
      </w:r>
    </w:p>
    <w:p>
      <w:pPr>
        <w:spacing w:after="80" w:before="80"/>
        <w:ind w:left="560" w:hanging="560"/>
      </w:pPr>
      <w:r>
        <w:rPr>
          <w:rFonts w:ascii="Arial" w:cs="Arial" w:eastAsia="Arial" w:hAnsi="Arial"/>
          <w:b/>
          <w:bCs/>
          <w:color w:val="C9A84C"/>
          <w:sz w:val="19"/>
          <w:szCs w:val="19"/>
        </w:rPr>
        <w:t xml:space="preserve">[14]  </w:t>
      </w:r>
      <w:r>
        <w:rPr>
          <w:rFonts w:ascii="Georgia" w:cs="Georgia" w:eastAsia="Georgia" w:hAnsi="Georgia"/>
          <w:color w:val="2C2C2C"/>
          <w:sz w:val="19"/>
          <w:szCs w:val="19"/>
        </w:rPr>
        <w:t xml:space="preserve">United States Conference of Catholic Bishops. (1986). Economic Justice for All. USCCB Publishing.</w:t>
      </w:r>
    </w:p>
    <w:p>
      <w:pPr>
        <w:spacing w:after="80" w:before="80"/>
        <w:ind w:left="560" w:hanging="560"/>
      </w:pPr>
      <w:r>
        <w:rPr>
          <w:rFonts w:ascii="Arial" w:cs="Arial" w:eastAsia="Arial" w:hAnsi="Arial"/>
          <w:b/>
          <w:bCs/>
          <w:color w:val="C9A84C"/>
          <w:sz w:val="19"/>
          <w:szCs w:val="19"/>
        </w:rPr>
        <w:t xml:space="preserve">[15]  </w:t>
      </w:r>
      <w:r>
        <w:rPr>
          <w:rFonts w:ascii="Georgia" w:cs="Georgia" w:eastAsia="Georgia" w:hAnsi="Georgia"/>
          <w:color w:val="2C2C2C"/>
          <w:sz w:val="19"/>
          <w:szCs w:val="19"/>
        </w:rPr>
        <w:t xml:space="preserve">Talmud Bavli, Sanhedrin 37a. Soncino Press edition.</w:t>
      </w:r>
    </w:p>
    <w:p>
      <w:pPr>
        <w:spacing w:after="80" w:before="80"/>
        <w:ind w:left="560" w:hanging="560"/>
      </w:pPr>
      <w:r>
        <w:rPr>
          <w:rFonts w:ascii="Arial" w:cs="Arial" w:eastAsia="Arial" w:hAnsi="Arial"/>
          <w:b/>
          <w:bCs/>
          <w:color w:val="C9A84C"/>
          <w:sz w:val="19"/>
          <w:szCs w:val="19"/>
        </w:rPr>
        <w:t xml:space="preserve">[16]  </w:t>
      </w:r>
      <w:r>
        <w:rPr>
          <w:rFonts w:ascii="Georgia" w:cs="Georgia" w:eastAsia="Georgia" w:hAnsi="Georgia"/>
          <w:color w:val="2C2C2C"/>
          <w:sz w:val="19"/>
          <w:szCs w:val="19"/>
        </w:rPr>
        <w:t xml:space="preserve">Quran, Surah 5:32. Saheeh International translation.</w:t>
      </w:r>
    </w:p>
    <w:p>
      <w:pPr>
        <w:spacing w:after="80" w:before="80"/>
        <w:ind w:left="560" w:hanging="560"/>
      </w:pPr>
      <w:r>
        <w:rPr>
          <w:rFonts w:ascii="Arial" w:cs="Arial" w:eastAsia="Arial" w:hAnsi="Arial"/>
          <w:b/>
          <w:bCs/>
          <w:color w:val="C9A84C"/>
          <w:sz w:val="19"/>
          <w:szCs w:val="19"/>
        </w:rPr>
        <w:t xml:space="preserve">[17]  </w:t>
      </w:r>
      <w:r>
        <w:rPr>
          <w:rFonts w:ascii="Georgia" w:cs="Georgia" w:eastAsia="Georgia" w:hAnsi="Georgia"/>
          <w:color w:val="2C2C2C"/>
          <w:sz w:val="19"/>
          <w:szCs w:val="19"/>
        </w:rPr>
        <w:t xml:space="preserve">Chenoweth, E. &amp; Stephan, M. (2011). Why Civil Resistance Works. Columbia University Press.</w:t>
      </w:r>
    </w:p>
    <w:p>
      <w:pPr>
        <w:spacing w:after="80" w:before="80"/>
        <w:ind w:left="560" w:hanging="560"/>
      </w:pPr>
      <w:r>
        <w:rPr>
          <w:rFonts w:ascii="Arial" w:cs="Arial" w:eastAsia="Arial" w:hAnsi="Arial"/>
          <w:b/>
          <w:bCs/>
          <w:color w:val="C9A84C"/>
          <w:sz w:val="19"/>
          <w:szCs w:val="19"/>
        </w:rPr>
        <w:t xml:space="preserve">[18]  </w:t>
      </w:r>
      <w:r>
        <w:rPr>
          <w:rFonts w:ascii="Georgia" w:cs="Georgia" w:eastAsia="Georgia" w:hAnsi="Georgia"/>
          <w:color w:val="2C2C2C"/>
          <w:sz w:val="19"/>
          <w:szCs w:val="19"/>
        </w:rPr>
        <w:t xml:space="preserve">Blight, D.W. (2018). Frederick Douglass: Prophet of Freedom. Simon &amp; Schuster.</w:t>
      </w:r>
    </w:p>
    <w:p>
      <w:pPr>
        <w:spacing w:after="80" w:before="80"/>
        <w:ind w:left="560" w:hanging="560"/>
      </w:pPr>
      <w:r>
        <w:rPr>
          <w:rFonts w:ascii="Arial" w:cs="Arial" w:eastAsia="Arial" w:hAnsi="Arial"/>
          <w:b/>
          <w:bCs/>
          <w:color w:val="C9A84C"/>
          <w:sz w:val="19"/>
          <w:szCs w:val="19"/>
        </w:rPr>
        <w:t xml:space="preserve">[19]  </w:t>
      </w:r>
      <w:r>
        <w:rPr>
          <w:rFonts w:ascii="Georgia" w:cs="Georgia" w:eastAsia="Georgia" w:hAnsi="Georgia"/>
          <w:color w:val="2C2C2C"/>
          <w:sz w:val="19"/>
          <w:szCs w:val="19"/>
        </w:rPr>
        <w:t xml:space="preserve">Fischer, L. (1950). The Life of Mahatma Gandhi. Harper &amp; Brothers.</w:t>
      </w:r>
    </w:p>
    <w:p>
      <w:pPr>
        <w:spacing w:after="80" w:before="80"/>
        <w:ind w:left="560" w:hanging="560"/>
      </w:pPr>
      <w:r>
        <w:rPr>
          <w:rFonts w:ascii="Arial" w:cs="Arial" w:eastAsia="Arial" w:hAnsi="Arial"/>
          <w:b/>
          <w:bCs/>
          <w:color w:val="C9A84C"/>
          <w:sz w:val="19"/>
          <w:szCs w:val="19"/>
        </w:rPr>
        <w:t xml:space="preserve">[20]  </w:t>
      </w:r>
      <w:r>
        <w:rPr>
          <w:rFonts w:ascii="Georgia" w:cs="Georgia" w:eastAsia="Georgia" w:hAnsi="Georgia"/>
          <w:color w:val="2C2C2C"/>
          <w:sz w:val="19"/>
          <w:szCs w:val="19"/>
        </w:rPr>
        <w:t xml:space="preserve">Declaration of Independence. (July 4, 1776). National Archives.</w:t>
      </w:r>
    </w:p>
    <w:p>
      <w:pPr>
        <w:spacing w:after="80" w:before="80"/>
        <w:ind w:left="560" w:hanging="560"/>
      </w:pPr>
      <w:r>
        <w:rPr>
          <w:rFonts w:ascii="Arial" w:cs="Arial" w:eastAsia="Arial" w:hAnsi="Arial"/>
          <w:b/>
          <w:bCs/>
          <w:color w:val="C9A84C"/>
          <w:sz w:val="19"/>
          <w:szCs w:val="19"/>
        </w:rPr>
        <w:t xml:space="preserve">[21]  </w:t>
      </w:r>
      <w:r>
        <w:rPr>
          <w:rFonts w:ascii="Georgia" w:cs="Georgia" w:eastAsia="Georgia" w:hAnsi="Georgia"/>
          <w:color w:val="2C2C2C"/>
          <w:sz w:val="19"/>
          <w:szCs w:val="19"/>
        </w:rPr>
        <w:t xml:space="preserve">10 U.S.C. Section 502. Military Oath of Enlistment.</w:t>
      </w:r>
    </w:p>
    <w:p>
      <w:pPr>
        <w:spacing w:after="80" w:before="80"/>
        <w:ind w:left="560" w:hanging="560"/>
      </w:pPr>
      <w:r>
        <w:rPr>
          <w:rFonts w:ascii="Arial" w:cs="Arial" w:eastAsia="Arial" w:hAnsi="Arial"/>
          <w:b/>
          <w:bCs/>
          <w:color w:val="C9A84C"/>
          <w:sz w:val="19"/>
          <w:szCs w:val="19"/>
        </w:rPr>
        <w:t xml:space="preserve">[22]  </w:t>
      </w:r>
      <w:r>
        <w:rPr>
          <w:rFonts w:ascii="Georgia" w:cs="Georgia" w:eastAsia="Georgia" w:hAnsi="Georgia"/>
          <w:color w:val="2C2C2C"/>
          <w:sz w:val="19"/>
          <w:szCs w:val="19"/>
        </w:rPr>
        <w:t xml:space="preserve">Nuremberg Principles. (1950). UN General Assembly Resolution 95(I).</w:t>
      </w:r>
    </w:p>
    <w:p>
      <w:pPr>
        <w:spacing w:after="80" w:before="80"/>
        <w:ind w:left="560" w:hanging="560"/>
      </w:pPr>
      <w:r>
        <w:rPr>
          <w:rFonts w:ascii="Arial" w:cs="Arial" w:eastAsia="Arial" w:hAnsi="Arial"/>
          <w:b/>
          <w:bCs/>
          <w:color w:val="C9A84C"/>
          <w:sz w:val="19"/>
          <w:szCs w:val="19"/>
        </w:rPr>
        <w:t xml:space="preserve">[23]  </w:t>
      </w:r>
      <w:r>
        <w:rPr>
          <w:rFonts w:ascii="Georgia" w:cs="Georgia" w:eastAsia="Georgia" w:hAnsi="Georgia"/>
          <w:color w:val="2C2C2C"/>
          <w:sz w:val="19"/>
          <w:szCs w:val="19"/>
        </w:rPr>
        <w:t xml:space="preserve">Uniform Code of Military Justice, Article 92. | United States v. Calley (1973).</w:t>
      </w:r>
    </w:p>
    <w:p>
      <w:pPr>
        <w:spacing w:after="80" w:before="80"/>
        <w:ind w:left="560" w:hanging="560"/>
      </w:pPr>
      <w:r>
        <w:rPr>
          <w:rFonts w:ascii="Arial" w:cs="Arial" w:eastAsia="Arial" w:hAnsi="Arial"/>
          <w:b/>
          <w:bCs/>
          <w:color w:val="C9A84C"/>
          <w:sz w:val="19"/>
          <w:szCs w:val="19"/>
        </w:rPr>
        <w:t xml:space="preserve">[24]  </w:t>
      </w:r>
      <w:r>
        <w:rPr>
          <w:rFonts w:ascii="Georgia" w:cs="Georgia" w:eastAsia="Georgia" w:hAnsi="Georgia"/>
          <w:color w:val="2C2C2C"/>
          <w:sz w:val="19"/>
          <w:szCs w:val="19"/>
        </w:rPr>
        <w:t xml:space="preserve">Chenoweth, E. &amp; Stephan, M. (2011). Op. cit. Chapter 7 on international support and nonviolent movements.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spacing w:before="100"/>
      <w:jc w:val="center"/>
    </w:pPr>
    <w:r>
      <w:rPr>
        <w:rFonts w:ascii="Georgia" w:cs="Georgia" w:eastAsia="Georgia" w:hAnsi="Georgia"/>
        <w:color w:val="888888"/>
        <w:sz w:val="17"/>
        <w:szCs w:val="17"/>
      </w:rPr>
      <w:t xml:space="preserve">Journal of Democratic Ethics and Civic Responsibility  |  Vol. 1,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5"/>
      </w:pBdr>
      <w:tabs>
        <w:tab w:val="right" w:pos="9360"/>
      </w:tabs>
      <w:spacing w:after="100"/>
    </w:pPr>
    <w:r>
      <w:rPr>
        <w:rFonts w:ascii="Arial" w:cs="Arial" w:eastAsia="Arial" w:hAnsi="Arial"/>
        <w:b/>
        <w:bCs/>
        <w:color w:val="0D1B2A"/>
        <w:sz w:val="18"/>
        <w:szCs w:val="18"/>
      </w:rPr>
      <w:t xml:space="preserve">The Harder Road</w:t>
    </w:r>
    <w:r>
      <w:rPr>
        <w:rFonts w:ascii="Georgia" w:cs="Georgia" w:eastAsia="Georgia" w:hAnsi="Georgia"/>
        <w:color w:val="888888"/>
        <w:sz w:val="18"/>
        <w:szCs w:val="18"/>
      </w:rPr>
      <w:t xml:space="preserve">  |  KP</w:t>
    </w:r>
    <w:r>
      <w:rPr>
        <w:rFonts w:ascii="Arial" w:cs="Arial" w:eastAsia="Arial" w:hAnsi="Arial"/>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00"/>
      <w:outlineLvl w:val="0"/>
    </w:pPr>
    <w:rPr>
      <w:rFonts w:ascii="Arial" w:cs="Arial" w:eastAsia="Arial" w:hAnsi="Arial"/>
      <w:b/>
      <w:bCs/>
      <w:color w:val="0D1B2A"/>
      <w:sz w:val="30"/>
      <w:szCs w:val="30"/>
    </w:rPr>
  </w:style>
  <w:style w:type="paragraph" w:styleId="Heading2">
    <w:name w:val="Heading 2"/>
    <w:basedOn w:val="Normal"/>
    <w:next w:val="Normal"/>
    <w:qFormat/>
    <w:pPr>
      <w:spacing w:after="110" w:before="340"/>
      <w:outlineLvl w:val="1"/>
    </w:pPr>
    <w:rPr>
      <w:rFonts w:ascii="Arial" w:cs="Arial" w:eastAsia="Arial" w:hAnsi="Arial"/>
      <w:b/>
      <w:bCs/>
      <w:color w:val="8B1A1A"/>
      <w:sz w:val="25"/>
      <w:szCs w:val="25"/>
    </w:rPr>
  </w:style>
  <w:style w:type="paragraph" w:styleId="Heading3">
    <w:name w:val="Heading 3"/>
    <w:basedOn w:val="Normal"/>
    <w:next w:val="Normal"/>
    <w:qFormat/>
    <w:pPr>
      <w:spacing w:after="80" w:before="220"/>
      <w:outlineLvl w:val="2"/>
    </w:pPr>
    <w:rPr>
      <w:rFonts w:ascii="Arial" w:cs="Arial" w:eastAsia="Arial" w:hAnsi="Arial"/>
      <w:b/>
      <w:bCs/>
      <w:color w:val="3344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2026-04-27T16:42:02.057Z</dcterms:created>
  <dcterms:modified xsi:type="dcterms:W3CDTF">2026-04-27T16:42:02.057Z</dcterms:modified>
</cp:coreProperties>
</file>

<file path=docProps/custom.xml><?xml version="1.0" encoding="utf-8"?>
<Properties xmlns="http://schemas.openxmlformats.org/officeDocument/2006/custom-properties" xmlns:vt="http://schemas.openxmlformats.org/officeDocument/2006/docPropsVTypes"/>
</file>