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240" w:before="480"/>
        <w:jc w:val="center"/>
      </w:pPr>
      <w:r>
        <w:rPr>
          <w:rFonts w:ascii="Arial" w:cs="Arial" w:eastAsia="Arial" w:hAnsi="Arial"/>
          <w:b/>
          <w:bCs/>
          <w:color w:val="0A0A0A"/>
          <w:sz w:val="36"/>
          <w:szCs w:val="36"/>
        </w:rPr>
        <w:t xml:space="preserve">The 45</w:t>
      </w:r>
    </w:p>
    <w:p>
      <w:pPr>
        <w:spacing w:after="200" w:before="100"/>
        <w:jc w:val="center"/>
      </w:pPr>
      <w:r>
        <w:rPr>
          <w:rFonts w:ascii="Arial" w:cs="Arial" w:eastAsia="Arial" w:hAnsi="Arial"/>
          <w:i/>
          <w:iCs/>
          <w:color w:val="555555"/>
          <w:sz w:val="24"/>
          <w:szCs w:val="24"/>
        </w:rPr>
        <w:t xml:space="preserve">A Nine-Month FOIA Campaign</w:t>
      </w:r>
    </w:p>
    <w:p>
      <w:pPr>
        <w:spacing w:after="200" w:before="100"/>
        <w:jc w:val="center"/>
      </w:pPr>
      <w:r>
        <w:rPr>
          <w:rFonts w:ascii="Arial" w:cs="Arial" w:eastAsia="Arial" w:hAnsi="Arial"/>
          <w:color w:val="888888"/>
          <w:sz w:val="22"/>
          <w:szCs w:val="22"/>
        </w:rPr>
        <w:t xml:space="preserve">Operational Playbook</w:t>
      </w:r>
    </w:p>
    <w:p>
      <w:pPr>
        <w:spacing w:after="0" w:before="1200"/>
      </w:pPr>
      <w:r>
        <w:t xml:space="preserve"/>
      </w:r>
    </w:p>
    <w:p>
      <w:pPr>
        <w:pBdr>
          <w:top w:val="single" w:color="1A1A2E" w:sz="4" w:space="6"/>
          <w:bottom w:val="single" w:color="1A1A2E" w:sz="4" w:space="6"/>
          <w:left w:val="single" w:color="1A1A2E" w:sz="4" w:space="6"/>
          <w:right w:val="single" w:color="1A1A2E" w:sz="4" w:space="6"/>
        </w:pBdr>
        <w:spacing w:after="240" w:before="240"/>
        <w:ind w:left="360" w:right="360"/>
      </w:pPr>
      <w:r>
        <w:rPr>
          <w:rFonts w:ascii="Georgia" w:cs="Georgia" w:eastAsia="Georgia" w:hAnsi="Georgia"/>
          <w:i/>
          <w:iCs/>
          <w:color w:val="0A0A0A"/>
          <w:sz w:val="22"/>
          <w:szCs w:val="22"/>
        </w:rPr>
        <w:t xml:space="preserve">A challenge accepted properly is a challenge converted into a system. The system does the heavy lifting. You become the operator, not the hero. This document is your operator manual.</w:t>
      </w:r>
    </w:p>
    <w:p>
      <w:r>
        <w:br/>
      </w:r>
    </w:p>
    <w:p>
      <w:pPr>
        <w:spacing w:after="240" w:before="480"/>
        <w:jc w:val="center"/>
      </w:pPr>
      <w:r>
        <w:rPr>
          <w:rFonts w:ascii="Arial" w:cs="Arial" w:eastAsia="Arial" w:hAnsi="Arial"/>
          <w:b/>
          <w:bCs/>
          <w:color w:val="0A0A0A"/>
          <w:sz w:val="36"/>
          <w:szCs w:val="36"/>
        </w:rPr>
        <w:t xml:space="preserve">What You Are Doing</w:t>
      </w:r>
    </w:p>
    <w:p>
      <w:pPr>
        <w:spacing w:after="120" w:before="120" w:line="360"/>
        <w:jc w:val="both"/>
      </w:pPr>
      <w:r>
        <w:rPr>
          <w:rFonts w:ascii="Georgia" w:cs="Georgia" w:eastAsia="Georgia" w:hAnsi="Georgia"/>
          <w:sz w:val="23"/>
          <w:szCs w:val="23"/>
        </w:rPr>
        <w:t xml:space="preserve">Forty-five Freedom of Information Act and parallel records requests, filed in waves of five per month over nine months, targeting the documented atrocities and unresolved public events catalogued in the source list. Each request is designed to produce one of four outcomes — full release, partial release, formal refusal, or documented absence of records. All four outcomes are useful. Full release gives you evidence. Partial release gives you evidence plus a record of what the agency tried to hide. Formal refusal gives you a documented refusal that you can publish. Absence of records, when the records should exist, is itself the most damning category of finding.</w:t>
      </w:r>
    </w:p>
    <w:p>
      <w:pPr>
        <w:spacing w:after="120" w:before="120" w:line="360"/>
        <w:jc w:val="both"/>
      </w:pPr>
      <w:r>
        <w:rPr>
          <w:rFonts w:ascii="Georgia" w:cs="Georgia" w:eastAsia="Georgia" w:hAnsi="Georgia"/>
          <w:sz w:val="23"/>
          <w:szCs w:val="23"/>
        </w:rPr>
        <w:t xml:space="preserve">The objective is not, primarily, to obtain secret documents that will single-handedly change public understanding. That is the romantic version of FOIA work and it almost never delivers. The actual objective is to accumulate, across forty-five parallel inquiries, a documented body of agency conduct — what they release, what they redact, what they refuse, what they cannot find — that constitutes its own form of evidence. The body of evidence is what gives a serious researcher standing to make claims that ordinary citizens cannot make. After nine months of disciplined filing, you are no longer a person with opinions about the government. You are a person with a documented record of the government's own conduct in response to specific requests for specific records.</w:t>
      </w:r>
    </w:p>
    <w:p>
      <w:pPr>
        <w:pBdr>
          <w:top w:val="single" w:color="1A1A2E" w:sz="4" w:space="6"/>
          <w:bottom w:val="single" w:color="1A1A2E" w:sz="4" w:space="6"/>
          <w:left w:val="single" w:color="1A1A2E" w:sz="4" w:space="6"/>
          <w:right w:val="single" w:color="1A1A2E" w:sz="4" w:space="6"/>
        </w:pBdr>
        <w:spacing w:after="240" w:before="240"/>
        <w:ind w:left="360" w:right="360"/>
      </w:pPr>
      <w:r>
        <w:rPr>
          <w:rFonts w:ascii="Georgia" w:cs="Georgia" w:eastAsia="Georgia" w:hAnsi="Georgia"/>
          <w:i/>
          <w:iCs/>
          <w:color w:val="0A0A0A"/>
          <w:sz w:val="22"/>
          <w:szCs w:val="22"/>
        </w:rPr>
        <w:t xml:space="preserve">FOIA does not always tell you what the government did. FOIA reliably tells you what the government will not say.</w:t>
      </w:r>
    </w:p>
    <w:p>
      <w:pPr>
        <w:spacing w:after="160" w:before="360"/>
      </w:pPr>
      <w:r>
        <w:rPr>
          <w:rFonts w:ascii="Arial" w:cs="Arial" w:eastAsia="Arial" w:hAnsi="Arial"/>
          <w:b/>
          <w:bCs/>
          <w:color w:val="1A1A2E"/>
          <w:sz w:val="26"/>
          <w:szCs w:val="26"/>
        </w:rPr>
        <w:t xml:space="preserve">Your Four Files</w:t>
      </w:r>
    </w:p>
    <w:p>
      <w:pPr>
        <w:spacing w:after="120" w:before="120" w:line="360"/>
        <w:jc w:val="both"/>
      </w:pPr>
      <w:r>
        <w:rPr>
          <w:rFonts w:ascii="Georgia" w:cs="Georgia" w:eastAsia="Georgia" w:hAnsi="Georgia"/>
          <w:sz w:val="23"/>
          <w:szCs w:val="23"/>
        </w:rPr>
        <w:t xml:space="preserve">The campaign runs on four documents, all in your hands now.</w:t>
      </w:r>
    </w:p>
    <w:p>
      <w:pPr>
        <w:spacing w:after="120" w:before="120" w:line="360"/>
        <w:jc w:val="both"/>
      </w:pPr>
      <w:r>
        <w:rPr>
          <w:rFonts w:ascii="Georgia" w:cs="Georgia" w:eastAsia="Georgia" w:hAnsi="Georgia"/>
          <w:sz w:val="23"/>
          <w:szCs w:val="23"/>
        </w:rPr>
        <w:t xml:space="preserve">FOIA_Master_Tracker.xlsx is the operational center. It contains the 45 targets, the filing timeline, the response protocol, the agency directory, and a dashboard. Open this file at the start of every FOIA session. Update the Status column as responses arrive. The dashboard updates automatically.</w:t>
      </w:r>
    </w:p>
    <w:p>
      <w:pPr>
        <w:spacing w:after="120" w:before="120" w:line="360"/>
        <w:jc w:val="both"/>
      </w:pPr>
      <w:r>
        <w:rPr>
          <w:rFonts w:ascii="Georgia" w:cs="Georgia" w:eastAsia="Georgia" w:hAnsi="Georgia"/>
          <w:sz w:val="23"/>
          <w:szCs w:val="23"/>
        </w:rPr>
        <w:t xml:space="preserve">FOIA_Templates.docx contains the three template letters and the appeal letter. You will use Template A for 35 of the 45 requests, Template B for the 5 classified-records targets, Template C for the 3 California state requests, and the Appeal Template whenever an agency denies a request in whole or in part.</w:t>
      </w:r>
    </w:p>
    <w:p>
      <w:pPr>
        <w:spacing w:after="120" w:before="120" w:line="360"/>
        <w:jc w:val="both"/>
      </w:pPr>
      <w:r>
        <w:rPr>
          <w:rFonts w:ascii="Georgia" w:cs="Georgia" w:eastAsia="Georgia" w:hAnsi="Georgia"/>
          <w:sz w:val="23"/>
          <w:szCs w:val="23"/>
        </w:rPr>
        <w:t xml:space="preserve">This Playbook is the operational reference. Keep it open when you are working a wave or processing a response. It tells you what to do when you do not remember what to do.</w:t>
      </w:r>
    </w:p>
    <w:p>
      <w:pPr>
        <w:spacing w:after="120" w:before="120" w:line="360"/>
        <w:jc w:val="both"/>
      </w:pPr>
      <w:r>
        <w:rPr>
          <w:rFonts w:ascii="Georgia" w:cs="Georgia" w:eastAsia="Georgia" w:hAnsi="Georgia"/>
          <w:sz w:val="23"/>
          <w:szCs w:val="23"/>
        </w:rPr>
        <w:t xml:space="preserve">A working folder on your computer with subfolders by target ID — one folder per request, containing your filed letter, the agency acknowledgment, any responsive records, your appeal if needed, and any subsequent correspondence. The folder structure is part of the system. Without it, by month four you cannot find anything.</w:t>
      </w:r>
    </w:p>
    <w:p>
      <w:r>
        <w:br/>
      </w:r>
    </w:p>
    <w:p>
      <w:pPr>
        <w:spacing w:after="240" w:before="480"/>
        <w:jc w:val="center"/>
      </w:pPr>
      <w:r>
        <w:rPr>
          <w:rFonts w:ascii="Arial" w:cs="Arial" w:eastAsia="Arial" w:hAnsi="Arial"/>
          <w:b/>
          <w:bCs/>
          <w:color w:val="0A0A0A"/>
          <w:sz w:val="36"/>
          <w:szCs w:val="36"/>
        </w:rPr>
        <w:t xml:space="preserve">The Nine-Month Schedule</w:t>
      </w:r>
    </w:p>
    <w:p>
      <w:pPr>
        <w:spacing w:after="120" w:before="120" w:line="360"/>
        <w:jc w:val="both"/>
      </w:pPr>
      <w:r>
        <w:rPr>
          <w:rFonts w:ascii="Georgia" w:cs="Georgia" w:eastAsia="Georgia" w:hAnsi="Georgia"/>
          <w:sz w:val="23"/>
          <w:szCs w:val="23"/>
        </w:rPr>
        <w:t xml:space="preserve">The pace is one filing wave per month. Each wave is five requests. The waves are pre-grouped in the tracker by theme — Tier 1 first, then historical pattern, then foreign policy, then closing waves of pattern-completion requests. The grouping matters because filing related requests in the same wave often produces complementary releases.</w:t>
      </w:r>
    </w:p>
    <w:p>
      <w:pPr>
        <w:spacing w:after="120" w:before="240"/>
      </w:pPr>
      <w:r>
        <w:rPr>
          <w:rFonts w:ascii="Arial" w:cs="Arial" w:eastAsia="Arial" w:hAnsi="Arial"/>
          <w:b/>
          <w:bCs/>
          <w:color w:val="2C2C54"/>
          <w:sz w:val="22"/>
          <w:szCs w:val="22"/>
        </w:rPr>
        <w:t xml:space="preserve">Wave-day protocol</w:t>
      </w:r>
    </w:p>
    <w:p>
      <w:pPr>
        <w:spacing w:after="120" w:before="120" w:line="360"/>
        <w:jc w:val="both"/>
      </w:pPr>
      <w:r>
        <w:rPr>
          <w:rFonts w:ascii="Georgia" w:cs="Georgia" w:eastAsia="Georgia" w:hAnsi="Georgia"/>
          <w:sz w:val="23"/>
          <w:szCs w:val="23"/>
        </w:rPr>
        <w:t xml:space="preserve">One day per month is your wave-filing day. Block it in your calendar. The block should be four hours, which is enough to file five requests if you have the templates and the target descriptions already prepared. The protocol:</w:t>
      </w:r>
    </w:p>
    <w:p>
      <w:pPr>
        <w:spacing w:after="120" w:before="120" w:line="360"/>
        <w:jc w:val="both"/>
      </w:pPr>
      <w:r>
        <w:rPr>
          <w:rFonts w:ascii="Georgia" w:cs="Georgia" w:eastAsia="Georgia" w:hAnsi="Georgia"/>
          <w:sz w:val="23"/>
          <w:szCs w:val="23"/>
        </w:rPr>
        <w:t xml:space="preserve">Hour one. Open the tracker. Confirm which five requests are in this month's wave. For each one, copy the records description from column E of the Targets sheet. Open Template A, B, or C as appropriate. Customize for each target — paste the records description, write the 2-3 sentence public interest justification, confirm the agency address from the Agencies sheet.</w:t>
      </w:r>
    </w:p>
    <w:p>
      <w:pPr>
        <w:spacing w:after="120" w:before="120" w:line="360"/>
        <w:jc w:val="both"/>
      </w:pPr>
      <w:r>
        <w:rPr>
          <w:rFonts w:ascii="Georgia" w:cs="Georgia" w:eastAsia="Georgia" w:hAnsi="Georgia"/>
          <w:sz w:val="23"/>
          <w:szCs w:val="23"/>
        </w:rPr>
        <w:t xml:space="preserve">Hour two. File the first three requests. For online portals, complete the agency form and paste your prepared letter as supporting documentation. For mail filings, print, sign, prepare envelope with return receipt. Note the filing date and any confirmation number in column H of the tracker.</w:t>
      </w:r>
    </w:p>
    <w:p>
      <w:pPr>
        <w:spacing w:after="120" w:before="120" w:line="360"/>
        <w:jc w:val="both"/>
      </w:pPr>
      <w:r>
        <w:rPr>
          <w:rFonts w:ascii="Georgia" w:cs="Georgia" w:eastAsia="Georgia" w:hAnsi="Georgia"/>
          <w:sz w:val="23"/>
          <w:szCs w:val="23"/>
        </w:rPr>
        <w:t xml:space="preserve">Hour three. File the remaining two requests. Mail the certified envelopes if mailing. Update tracker Status to "Filed" for all five.</w:t>
      </w:r>
    </w:p>
    <w:p>
      <w:pPr>
        <w:spacing w:after="120" w:before="120" w:line="360"/>
        <w:jc w:val="both"/>
      </w:pPr>
      <w:r>
        <w:rPr>
          <w:rFonts w:ascii="Georgia" w:cs="Georgia" w:eastAsia="Georgia" w:hAnsi="Georgia"/>
          <w:sz w:val="23"/>
          <w:szCs w:val="23"/>
        </w:rPr>
        <w:t xml:space="preserve">Hour four. Set 30-day calendar reminders for each filed request. Set 20-business-day reminders for "no acknowledgment received" follow-up. Take a break. The wave is done for the month.</w:t>
      </w:r>
    </w:p>
    <w:p>
      <w:pPr>
        <w:pBdr>
          <w:top w:val="single" w:color="1A1A2E" w:sz="4" w:space="6"/>
          <w:bottom w:val="single" w:color="1A1A2E" w:sz="4" w:space="6"/>
          <w:left w:val="single" w:color="1A1A2E" w:sz="4" w:space="6"/>
          <w:right w:val="single" w:color="1A1A2E" w:sz="4" w:space="6"/>
        </w:pBdr>
        <w:spacing w:after="240" w:before="240"/>
        <w:ind w:left="360" w:right="360"/>
      </w:pPr>
      <w:r>
        <w:rPr>
          <w:rFonts w:ascii="Georgia" w:cs="Georgia" w:eastAsia="Georgia" w:hAnsi="Georgia"/>
          <w:i/>
          <w:iCs/>
          <w:color w:val="0A0A0A"/>
          <w:sz w:val="22"/>
          <w:szCs w:val="22"/>
        </w:rPr>
        <w:t xml:space="preserve">You will be tempted to file more than five in a month, especially in the first three months. Resist. The discipline of five per month is what makes the response volume manageable two months later.</w:t>
      </w:r>
    </w:p>
    <w:p>
      <w:pPr>
        <w:spacing w:after="160" w:before="360"/>
      </w:pPr>
      <w:r>
        <w:rPr>
          <w:rFonts w:ascii="Arial" w:cs="Arial" w:eastAsia="Arial" w:hAnsi="Arial"/>
          <w:b/>
          <w:bCs/>
          <w:color w:val="1A1A2E"/>
          <w:sz w:val="26"/>
          <w:szCs w:val="26"/>
        </w:rPr>
        <w:t xml:space="preserve">Response Handling</w:t>
      </w:r>
    </w:p>
    <w:p>
      <w:pPr>
        <w:spacing w:after="120" w:before="120" w:line="360"/>
        <w:jc w:val="both"/>
      </w:pPr>
      <w:r>
        <w:rPr>
          <w:rFonts w:ascii="Georgia" w:cs="Georgia" w:eastAsia="Georgia" w:hAnsi="Georgia"/>
          <w:sz w:val="23"/>
          <w:szCs w:val="23"/>
        </w:rPr>
        <w:t xml:space="preserve">Response handling is the other half of the work. As filings accumulate, you will receive responses on a continuous schedule. The protocol — laid out in the Response Protocol sheet of the tracker — covers every standard response type.</w:t>
      </w:r>
    </w:p>
    <w:p>
      <w:pPr>
        <w:spacing w:after="120" w:before="240"/>
      </w:pPr>
      <w:r>
        <w:rPr>
          <w:rFonts w:ascii="Arial" w:cs="Arial" w:eastAsia="Arial" w:hAnsi="Arial"/>
          <w:b/>
          <w:bCs/>
          <w:color w:val="2C2C54"/>
          <w:sz w:val="22"/>
          <w:szCs w:val="22"/>
        </w:rPr>
        <w:t xml:space="preserve">When you receive a response</w:t>
      </w:r>
    </w:p>
    <w:p>
      <w:pPr>
        <w:spacing w:after="120" w:before="120" w:line="360"/>
        <w:jc w:val="both"/>
      </w:pPr>
      <w:r>
        <w:rPr>
          <w:rFonts w:ascii="Georgia" w:cs="Georgia" w:eastAsia="Georgia" w:hAnsi="Georgia"/>
          <w:sz w:val="23"/>
          <w:szCs w:val="23"/>
        </w:rPr>
        <w:t xml:space="preserve">Step one. Identify which target the response refers to (by tracking number or subject reference). Open that target's folder. Save the response document.</w:t>
      </w:r>
    </w:p>
    <w:p>
      <w:pPr>
        <w:spacing w:after="120" w:before="120" w:line="360"/>
        <w:jc w:val="both"/>
      </w:pPr>
      <w:r>
        <w:rPr>
          <w:rFonts w:ascii="Georgia" w:cs="Georgia" w:eastAsia="Georgia" w:hAnsi="Georgia"/>
          <w:sz w:val="23"/>
          <w:szCs w:val="23"/>
        </w:rPr>
        <w:t xml:space="preserve">Step two. Identify which response type it is — acknowledgment, full release, partial release, no records, Glomar, fee estimate, full refusal. The Response Protocol sheet of the tracker tells you what each one means and what to do next.</w:t>
      </w:r>
    </w:p>
    <w:p>
      <w:pPr>
        <w:spacing w:after="120" w:before="120" w:line="360"/>
        <w:jc w:val="both"/>
      </w:pPr>
      <w:r>
        <w:rPr>
          <w:rFonts w:ascii="Georgia" w:cs="Georgia" w:eastAsia="Georgia" w:hAnsi="Georgia"/>
          <w:sz w:val="23"/>
          <w:szCs w:val="23"/>
        </w:rPr>
        <w:t xml:space="preserve">Step three. Execute the predetermined next step. Do not improvise. The predetermined step is the right step. You worked it out when you filed.</w:t>
      </w:r>
    </w:p>
    <w:p>
      <w:pPr>
        <w:spacing w:after="120" w:before="120" w:line="360"/>
        <w:jc w:val="both"/>
      </w:pPr>
      <w:r>
        <w:rPr>
          <w:rFonts w:ascii="Georgia" w:cs="Georgia" w:eastAsia="Georgia" w:hAnsi="Georgia"/>
          <w:sz w:val="23"/>
          <w:szCs w:val="23"/>
        </w:rPr>
        <w:t xml:space="preserve">Step four. Update the tracker Status column.</w:t>
      </w:r>
    </w:p>
    <w:p>
      <w:pPr>
        <w:spacing w:after="120" w:before="240"/>
      </w:pPr>
      <w:r>
        <w:rPr>
          <w:rFonts w:ascii="Arial" w:cs="Arial" w:eastAsia="Arial" w:hAnsi="Arial"/>
          <w:b/>
          <w:bCs/>
          <w:color w:val="2C2C54"/>
          <w:sz w:val="22"/>
          <w:szCs w:val="22"/>
        </w:rPr>
        <w:t xml:space="preserve">When you receive nothing within statutory timeframes</w:t>
      </w:r>
    </w:p>
    <w:p>
      <w:pPr>
        <w:spacing w:after="120" w:before="120" w:line="360"/>
        <w:jc w:val="both"/>
      </w:pPr>
      <w:r>
        <w:rPr>
          <w:rFonts w:ascii="Georgia" w:cs="Georgia" w:eastAsia="Georgia" w:hAnsi="Georgia"/>
          <w:sz w:val="23"/>
          <w:szCs w:val="23"/>
        </w:rPr>
        <w:t xml:space="preserve">FOIA gives the agency 20 business days to make a determination. If you have received no substantive response by day 21, the agency is in violation of its statutory obligations. You have already exhausted administrative remedies. You can file suit in federal district court. You do not, in most cases, actually want to file suit at this point — but knowing you can changes the conversation. A polite follow-up letter referencing your awareness of 5 U.S.C. § 552(a)(6)(C)(i) and your preserved right to seek judicial review often moves the request to active processing.</w:t>
      </w:r>
    </w:p>
    <w:p>
      <w:r>
        <w:br/>
      </w:r>
    </w:p>
    <w:p>
      <w:pPr>
        <w:spacing w:after="240" w:before="480"/>
        <w:jc w:val="center"/>
      </w:pPr>
      <w:r>
        <w:rPr>
          <w:rFonts w:ascii="Arial" w:cs="Arial" w:eastAsia="Arial" w:hAnsi="Arial"/>
          <w:b/>
          <w:bCs/>
          <w:color w:val="0A0A0A"/>
          <w:sz w:val="36"/>
          <w:szCs w:val="36"/>
        </w:rPr>
        <w:t xml:space="preserve">The Hard Parts</w:t>
      </w:r>
    </w:p>
    <w:p>
      <w:pPr>
        <w:spacing w:after="160" w:before="360"/>
      </w:pPr>
      <w:r>
        <w:rPr>
          <w:rFonts w:ascii="Arial" w:cs="Arial" w:eastAsia="Arial" w:hAnsi="Arial"/>
          <w:b/>
          <w:bCs/>
          <w:color w:val="1A1A2E"/>
          <w:sz w:val="26"/>
          <w:szCs w:val="26"/>
        </w:rPr>
        <w:t xml:space="preserve">You Will Get Tired</w:t>
      </w:r>
    </w:p>
    <w:p>
      <w:pPr>
        <w:spacing w:after="120" w:before="120" w:line="360"/>
        <w:jc w:val="both"/>
      </w:pPr>
      <w:r>
        <w:rPr>
          <w:rFonts w:ascii="Georgia" w:cs="Georgia" w:eastAsia="Georgia" w:hAnsi="Georgia"/>
          <w:sz w:val="23"/>
          <w:szCs w:val="23"/>
        </w:rPr>
        <w:t xml:space="preserve">Month three or four is when the work feels endless. The first responses are arriving. They are mostly acknowledgments, fee estimates, and "we are searching" letters. The actual substantive releases have not started yet. Filings for waves five and six are still ahead of you. This is the trough. The campaigns that succeed are the campaigns that survive the trough.</w:t>
      </w:r>
    </w:p>
    <w:p>
      <w:pPr>
        <w:spacing w:after="120" w:before="120" w:line="360"/>
        <w:jc w:val="both"/>
      </w:pPr>
      <w:r>
        <w:rPr>
          <w:rFonts w:ascii="Georgia" w:cs="Georgia" w:eastAsia="Georgia" w:hAnsi="Georgia"/>
          <w:sz w:val="23"/>
          <w:szCs w:val="23"/>
        </w:rPr>
        <w:t xml:space="preserve">The trough is survivable for one reason. The system does the work. You are not deciding anything difficult in month three. You are executing the same five-request wave you executed in month two and month one, on schedule, and processing whatever responses arrive according to the protocol. The fatigue you feel is not failure. The fatigue is the price of the campaign. Pay it. Keep filing. The substantive releases start in month five and accelerate from there.</w:t>
      </w:r>
    </w:p>
    <w:p>
      <w:pPr>
        <w:spacing w:after="160" w:before="360"/>
      </w:pPr>
      <w:r>
        <w:rPr>
          <w:rFonts w:ascii="Arial" w:cs="Arial" w:eastAsia="Arial" w:hAnsi="Arial"/>
          <w:b/>
          <w:bCs/>
          <w:color w:val="1A1A2E"/>
          <w:sz w:val="26"/>
          <w:szCs w:val="26"/>
        </w:rPr>
        <w:t xml:space="preserve">Some Agencies Will Try to Run Out the Clock</w:t>
      </w:r>
    </w:p>
    <w:p>
      <w:pPr>
        <w:spacing w:after="120" w:before="120" w:line="360"/>
        <w:jc w:val="both"/>
      </w:pPr>
      <w:r>
        <w:rPr>
          <w:rFonts w:ascii="Georgia" w:cs="Georgia" w:eastAsia="Georgia" w:hAnsi="Georgia"/>
          <w:sz w:val="23"/>
          <w:szCs w:val="23"/>
        </w:rPr>
        <w:t xml:space="preserve">Agencies have a documented pattern of trying to exhaust requesters by drawing out responses, demanding fee payments, narrowing the scope of search, or producing technically-compliant but substantively-useless responses. The defense is the documentation. You are filing 45 requests in a system that tracks every response. If an agency runs out the clock on one request, you have the documented record of the failure. The record is what gives you standing to publish, to litigate, or to involve oversight bodies.</w:t>
      </w:r>
    </w:p>
    <w:p>
      <w:pPr>
        <w:spacing w:after="160" w:before="360"/>
      </w:pPr>
      <w:r>
        <w:rPr>
          <w:rFonts w:ascii="Arial" w:cs="Arial" w:eastAsia="Arial" w:hAnsi="Arial"/>
          <w:b/>
          <w:bCs/>
          <w:color w:val="1A1A2E"/>
          <w:sz w:val="26"/>
          <w:szCs w:val="26"/>
        </w:rPr>
        <w:t xml:space="preserve">You Will Want to Quit</w:t>
      </w:r>
    </w:p>
    <w:p>
      <w:pPr>
        <w:spacing w:after="120" w:before="120" w:line="360"/>
        <w:jc w:val="both"/>
      </w:pPr>
      <w:r>
        <w:rPr>
          <w:rFonts w:ascii="Georgia" w:cs="Georgia" w:eastAsia="Georgia" w:hAnsi="Georgia"/>
          <w:sz w:val="23"/>
          <w:szCs w:val="23"/>
        </w:rPr>
        <w:t xml:space="preserve">There will be a moment, probably around month six, when you read a particularly outrageous refusal letter and think you cannot continue. The thinking is correct on its merits — the refusal is outrageous. The conclusion is wrong. Quitting at month six is what the system is designed to produce. Quitting at month six is the agency winning the argument by attrition.</w:t>
      </w:r>
    </w:p>
    <w:p>
      <w:pPr>
        <w:spacing w:after="120" w:before="120" w:line="360"/>
        <w:jc w:val="both"/>
      </w:pPr>
      <w:r>
        <w:rPr>
          <w:rFonts w:ascii="Georgia" w:cs="Georgia" w:eastAsia="Georgia" w:hAnsi="Georgia"/>
          <w:sz w:val="23"/>
          <w:szCs w:val="23"/>
        </w:rPr>
        <w:t xml:space="preserve">What you do, instead, in that moment, is file the appeal. The appeal takes 45 minutes using the template. Filing the appeal converts your frustration into a documented act of resistance. Whether the appeal succeeds is, in this moment, secondary. What matters is that you continued. The campaign is the continuing.</w:t>
      </w:r>
    </w:p>
    <w:p>
      <w:pPr>
        <w:pBdr>
          <w:top w:val="single" w:color="1A1A2E" w:sz="4" w:space="6"/>
          <w:bottom w:val="single" w:color="1A1A2E" w:sz="4" w:space="6"/>
          <w:left w:val="single" w:color="1A1A2E" w:sz="4" w:space="6"/>
          <w:right w:val="single" w:color="1A1A2E" w:sz="4" w:space="6"/>
        </w:pBdr>
        <w:spacing w:after="240" w:before="240"/>
        <w:ind w:left="360" w:right="360"/>
      </w:pPr>
      <w:r>
        <w:rPr>
          <w:rFonts w:ascii="Georgia" w:cs="Georgia" w:eastAsia="Georgia" w:hAnsi="Georgia"/>
          <w:i/>
          <w:iCs/>
          <w:color w:val="0A0A0A"/>
          <w:sz w:val="22"/>
          <w:szCs w:val="22"/>
        </w:rPr>
        <w:t xml:space="preserve">The agency that hopes you will quit at month six is correctly identifying the pattern. The agency is wrong only about you, specifically. You are the requester who does not quit. That is the entire qualification required.</w:t>
      </w:r>
    </w:p>
    <w:p>
      <w:pPr>
        <w:spacing w:after="160" w:before="360"/>
      </w:pPr>
      <w:r>
        <w:rPr>
          <w:rFonts w:ascii="Arial" w:cs="Arial" w:eastAsia="Arial" w:hAnsi="Arial"/>
          <w:b/>
          <w:bCs/>
          <w:color w:val="1A1A2E"/>
          <w:sz w:val="26"/>
          <w:szCs w:val="26"/>
        </w:rPr>
        <w:t xml:space="preserve">What Success Looks Like</w:t>
      </w:r>
    </w:p>
    <w:p>
      <w:pPr>
        <w:spacing w:after="120" w:before="120" w:line="360"/>
        <w:jc w:val="both"/>
      </w:pPr>
      <w:r>
        <w:rPr>
          <w:rFonts w:ascii="Georgia" w:cs="Georgia" w:eastAsia="Georgia" w:hAnsi="Georgia"/>
          <w:sz w:val="23"/>
          <w:szCs w:val="23"/>
        </w:rPr>
        <w:t xml:space="preserve">At the end of nine months, you have filed 45 requests. You have received, by the documented pattern of FOIA work, approximately 60-70% acknowledgments and partial responses, approximately 15-25% formal refusals, approximately 5-10% substantive releases of previously unreleased records, and approximately 5-10% no-records responses that document the absence of records in cases where records should exist.</w:t>
      </w:r>
    </w:p>
    <w:p>
      <w:pPr>
        <w:spacing w:after="120" w:before="120" w:line="360"/>
        <w:jc w:val="both"/>
      </w:pPr>
      <w:r>
        <w:rPr>
          <w:rFonts w:ascii="Georgia" w:cs="Georgia" w:eastAsia="Georgia" w:hAnsi="Georgia"/>
          <w:sz w:val="23"/>
          <w:szCs w:val="23"/>
        </w:rPr>
        <w:t xml:space="preserve">The 5-10% of substantive releases is, mathematically, between 2 and 5 documents you did not previously have. Those documents are the explicit product of the campaign. They are not the most important product. The most important product is the documented body of agency conduct across 45 parallel inquiries, which constitutes its own evidence about how American institutions handle records the public has a right to see.</w:t>
      </w:r>
    </w:p>
    <w:p>
      <w:pPr>
        <w:spacing w:after="120" w:before="120" w:line="360"/>
        <w:jc w:val="both"/>
      </w:pPr>
      <w:r>
        <w:rPr>
          <w:rFonts w:ascii="Georgia" w:cs="Georgia" w:eastAsia="Georgia" w:hAnsi="Georgia"/>
          <w:sz w:val="23"/>
          <w:szCs w:val="23"/>
        </w:rPr>
        <w:t xml:space="preserve">You also have, by the end of nine months, the operational habit of treating FOIA as ordinary citizenship rather than as extraordinary investigation. The habit, once formed, persists. You will continue filing for the rest of your life because filing has become something you do. The civic skill is the deepest yield of the campaign. The civic skill is what no agency can take from you no matter what they refuse to release.</w:t>
      </w:r>
    </w:p>
    <w:p>
      <w:r>
        <w:br/>
      </w:r>
    </w:p>
    <w:p>
      <w:pPr>
        <w:spacing w:after="240" w:before="480"/>
        <w:jc w:val="center"/>
      </w:pPr>
      <w:r>
        <w:rPr>
          <w:rFonts w:ascii="Arial" w:cs="Arial" w:eastAsia="Arial" w:hAnsi="Arial"/>
          <w:b/>
          <w:bCs/>
          <w:color w:val="0A0A0A"/>
          <w:sz w:val="36"/>
          <w:szCs w:val="36"/>
        </w:rPr>
        <w:t xml:space="preserve">One Final Note</w:t>
      </w:r>
    </w:p>
    <w:p>
      <w:pPr>
        <w:spacing w:after="120" w:before="120" w:line="360"/>
        <w:jc w:val="both"/>
      </w:pPr>
      <w:r>
        <w:rPr>
          <w:rFonts w:ascii="Georgia" w:cs="Georgia" w:eastAsia="Georgia" w:hAnsi="Georgia"/>
          <w:sz w:val="23"/>
          <w:szCs w:val="23"/>
        </w:rPr>
        <w:t xml:space="preserve">Most people who set out to do this stop after their first denial. The denial is well-written. The exemption language is legal-sounding. The agency seems to be doing what an agency does. The would-be researcher thinks, well, I tried, the records are not available, the institution has spoken.</w:t>
      </w:r>
    </w:p>
    <w:p>
      <w:pPr>
        <w:spacing w:after="120" w:before="120" w:line="360"/>
        <w:jc w:val="both"/>
      </w:pPr>
      <w:r>
        <w:rPr>
          <w:rFonts w:ascii="Georgia" w:cs="Georgia" w:eastAsia="Georgia" w:hAnsi="Georgia"/>
          <w:sz w:val="23"/>
          <w:szCs w:val="23"/>
        </w:rPr>
        <w:t xml:space="preserve">You are not most people, in this respect, for one reason. You are operating from a system that anticipated the denial before it arrived. The denial does not change your operations. The denial triggers a predetermined response. The response is the appeal. The appeal preserves your right to litigate. The litigation, if it ever happens, is the leverage that produces the records.</w:t>
      </w:r>
    </w:p>
    <w:p>
      <w:pPr>
        <w:spacing w:after="120" w:before="120" w:line="360"/>
        <w:jc w:val="both"/>
      </w:pPr>
      <w:r>
        <w:rPr>
          <w:rFonts w:ascii="Georgia" w:cs="Georgia" w:eastAsia="Georgia" w:hAnsi="Georgia"/>
          <w:sz w:val="23"/>
          <w:szCs w:val="23"/>
        </w:rPr>
        <w:t xml:space="preserve">Most people quit because they thought the work would be easier than it is. The work is not easy. The work is, however, doable. It is doable by exactly one kind of person — the person who keeps going after the first denial, the second denial, the third. There are not many of those people in any generation. Most of what is known publicly about American government conduct has been produced by, at most, a few hundred such people across the entire post-FOIA era. They were not professionals. They were not credentialed. They were stubborn citizens who refused to quit.</w:t>
      </w:r>
    </w:p>
    <w:p>
      <w:pPr>
        <w:spacing w:after="120" w:before="120" w:line="360"/>
        <w:jc w:val="both"/>
      </w:pPr>
      <w:r>
        <w:rPr>
          <w:rFonts w:ascii="Georgia" w:cs="Georgia" w:eastAsia="Georgia" w:hAnsi="Georgia"/>
          <w:sz w:val="23"/>
          <w:szCs w:val="23"/>
        </w:rPr>
        <w:t xml:space="preserve">You are joining a small and consequential group. The group does not have a name. The group does not meet. The group is identified only by the documentary record they have collectively produced and continue to produce. Your 45 requests, if you file all of them, will sit in agency systems alongside the requests of every other stubborn citizen who refused to accept the institution's first answer. The accumulated record is what eventually changes what is known.</w:t>
      </w:r>
    </w:p>
    <w:p>
      <w:pPr>
        <w:spacing w:after="0" w:before="400"/>
      </w:pPr>
      <w:r>
        <w:t xml:space="preserve"/>
      </w:r>
    </w:p>
    <w:p>
      <w:pPr>
        <w:pBdr>
          <w:top w:val="single" w:color="1A1A2E" w:sz="4" w:space="6"/>
          <w:bottom w:val="single" w:color="1A1A2E" w:sz="4" w:space="6"/>
          <w:left w:val="single" w:color="1A1A2E" w:sz="4" w:space="6"/>
          <w:right w:val="single" w:color="1A1A2E" w:sz="4" w:space="6"/>
        </w:pBdr>
        <w:spacing w:after="240" w:before="240"/>
        <w:ind w:left="360" w:right="360"/>
      </w:pPr>
      <w:r>
        <w:rPr>
          <w:rFonts w:ascii="Georgia" w:cs="Georgia" w:eastAsia="Georgia" w:hAnsi="Georgia"/>
          <w:i/>
          <w:iCs/>
          <w:color w:val="0A0A0A"/>
          <w:sz w:val="22"/>
          <w:szCs w:val="22"/>
        </w:rPr>
        <w:t xml:space="preserve">Begin Wave One this week. File five. The system handles the rest.</w:t>
      </w:r>
    </w:p>
    <w:p>
      <w:pPr>
        <w:spacing w:after="0" w:before="800"/>
      </w:pPr>
      <w:r>
        <w:t xml:space="preserve"/>
      </w:r>
    </w:p>
    <w:p>
      <w:pPr>
        <w:spacing w:after="200" w:before="200"/>
        <w:jc w:val="center"/>
      </w:pPr>
      <w:r>
        <w:rPr>
          <w:rFonts w:ascii="Georgia" w:cs="Georgia" w:eastAsia="Georgia" w:hAnsi="Georgia"/>
          <w:b/>
          <w:bCs/>
          <w:i/>
          <w:iCs/>
          <w:color w:val="0A0A0A"/>
          <w:sz w:val="26"/>
          <w:szCs w:val="26"/>
        </w:rPr>
        <w:t xml:space="preserve">Choose better. Not someday.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2026-05-22T20:55:05.306Z</dcterms:created>
  <dcterms:modified xsi:type="dcterms:W3CDTF">2026-05-22T20:55:05.306Z</dcterms:modified>
</cp:coreProperties>
</file>

<file path=docProps/custom.xml><?xml version="1.0" encoding="utf-8"?>
<Properties xmlns="http://schemas.openxmlformats.org/officeDocument/2006/custom-properties" xmlns:vt="http://schemas.openxmlformats.org/officeDocument/2006/docPropsVTypes"/>
</file>