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Georgia" w:cs="Georgia" w:eastAsia="Georgia" w:hAnsi="Georgia"/>
          <w:sz w:val="23"/>
          <w:szCs w:val="23"/>
        </w:rPr>
        <w:t xml:space="preserve">Kai Jashon Price</w:t>
      </w:r>
    </w:p>
    <w:p>
      <w:pPr>
        <w:spacing w:after="80" w:before="80"/>
      </w:pPr>
      <w:r>
        <w:rPr>
          <w:rFonts w:ascii="Georgia" w:cs="Georgia" w:eastAsia="Georgia" w:hAnsi="Georgia"/>
          <w:sz w:val="23"/>
          <w:szCs w:val="23"/>
        </w:rPr>
        <w:t xml:space="preserve">Jacksonville, North Carolina</w:t>
      </w:r>
    </w:p>
    <w:p>
      <w:pPr>
        <w:spacing w:after="80" w:before="80"/>
      </w:pPr>
      <w:r>
        <w:rPr>
          <w:rFonts w:ascii="Georgia" w:cs="Georgia" w:eastAsia="Georgia" w:hAnsi="Georgia"/>
          <w:sz w:val="23"/>
          <w:szCs w:val="23"/>
        </w:rPr>
        <w:t xml:space="preserve">Independent Party  /  Independent Journalist</w:t>
      </w:r>
    </w:p>
    <w:p>
      <w:pPr>
        <w:spacing w:after="80" w:before="80"/>
      </w:pPr>
      <w:r>
        <w:rPr>
          <w:rFonts w:ascii="Georgia" w:cs="Georgia" w:eastAsia="Georgia" w:hAnsi="Georgia"/>
          <w:sz w:val="23"/>
          <w:szCs w:val="23"/>
        </w:rPr>
        <w:t xml:space="preserve">https://structuralhumanism.com</w:t>
      </w:r>
    </w:p>
    <w:p>
      <w:pPr>
        <w:spacing w:after="0" w:before="200"/>
      </w:pPr>
      <w:r>
        <w:t xml:space="preserve"/>
      </w:r>
    </w:p>
    <w:p>
      <w:pPr>
        <w:spacing w:after="80" w:before="80"/>
      </w:pPr>
      <w:r>
        <w:rPr>
          <w:rFonts w:ascii="Georgia" w:cs="Georgia" w:eastAsia="Georgia" w:hAnsi="Georgia"/>
          <w:b/>
          <w:bCs/>
          <w:color w:val="B00000"/>
          <w:sz w:val="23"/>
          <w:szCs w:val="23"/>
          <w:highlight w:val="yellow"/>
          <w:highlightCs w:val="yellow"/>
        </w:rPr>
        <w:t xml:space="preserve">[INSERT DATE]</w:t>
      </w:r>
    </w:p>
    <w:p>
      <w:pPr>
        <w:spacing w:after="0" w:before="200"/>
      </w:pPr>
      <w:r>
        <w:t xml:space="preserve"/>
      </w:r>
    </w:p>
    <w:p>
      <w:pPr>
        <w:spacing w:after="80" w:before="80"/>
      </w:pPr>
      <w:r>
        <w:rPr>
          <w:rFonts w:ascii="Georgia" w:cs="Georgia" w:eastAsia="Georgia" w:hAnsi="Georgia"/>
          <w:b/>
          <w:bCs/>
          <w:color w:val="B00000"/>
          <w:sz w:val="23"/>
          <w:szCs w:val="23"/>
          <w:highlight w:val="yellow"/>
          <w:highlightCs w:val="yellow"/>
        </w:rPr>
        <w:t xml:space="preserve">[INSERT RECIPIENT NAME]</w:t>
      </w:r>
    </w:p>
    <w:p>
      <w:pPr>
        <w:spacing w:after="80" w:before="80"/>
      </w:pPr>
      <w:r>
        <w:rPr>
          <w:rFonts w:ascii="Georgia" w:cs="Georgia" w:eastAsia="Georgia" w:hAnsi="Georgia"/>
          <w:b/>
          <w:bCs/>
          <w:color w:val="B00000"/>
          <w:sz w:val="23"/>
          <w:szCs w:val="23"/>
          <w:highlight w:val="yellow"/>
          <w:highlightCs w:val="yellow"/>
        </w:rPr>
        <w:t xml:space="preserve">[INSERT OFFICIAL TITLE — e.g., United States Senator from North Carolina]</w:t>
      </w:r>
    </w:p>
    <w:p>
      <w:pPr>
        <w:spacing w:after="80" w:before="80"/>
      </w:pPr>
      <w:r>
        <w:rPr>
          <w:rFonts w:ascii="Georgia" w:cs="Georgia" w:eastAsia="Georgia" w:hAnsi="Georgia"/>
          <w:b/>
          <w:bCs/>
          <w:color w:val="B00000"/>
          <w:sz w:val="23"/>
          <w:szCs w:val="23"/>
          <w:highlight w:val="yellow"/>
          <w:highlightCs w:val="yellow"/>
        </w:rPr>
        <w:t xml:space="preserve">[INSERT OFFICE ADDRESS]</w:t>
      </w:r>
    </w:p>
    <w:p>
      <w:pPr>
        <w:spacing w:after="0" w:before="200"/>
      </w:pPr>
      <w:r>
        <w:t xml:space="preserve"/>
      </w:r>
    </w:p>
    <w:p>
      <w:pPr>
        <w:spacing w:after="120" w:before="120" w:line="360"/>
        <w:jc w:val="both"/>
      </w:pPr>
      <w:r>
        <w:rPr>
          <w:rFonts w:ascii="Georgia" w:cs="Georgia" w:eastAsia="Georgia" w:hAnsi="Georgia"/>
          <w:b w:val="false"/>
          <w:bCs w:val="false"/>
          <w:sz w:val="23"/>
          <w:szCs w:val="23"/>
        </w:rPr>
        <w:t xml:space="preserve">Dear </w:t>
      </w:r>
    </w:p>
    <w:p>
      <w:pPr>
        <w:spacing w:after="120" w:before="0" w:line="360"/>
        <w:jc w:val="both"/>
      </w:pPr>
      <w:r>
        <w:rPr>
          <w:rFonts w:ascii="Georgia" w:cs="Georgia" w:eastAsia="Georgia" w:hAnsi="Georgia"/>
          <w:sz w:val="23"/>
          <w:szCs w:val="23"/>
        </w:rPr>
        <w:t xml:space="preserve">Dear </w:t>
      </w:r>
      <w:r>
        <w:rPr>
          <w:rFonts w:ascii="Georgia" w:cs="Georgia" w:eastAsia="Georgia" w:hAnsi="Georgia"/>
          <w:b/>
          <w:bCs/>
          <w:color w:val="B00000"/>
          <w:sz w:val="23"/>
          <w:szCs w:val="23"/>
          <w:highlight w:val="yellow"/>
          <w:highlightCs w:val="yellow"/>
        </w:rPr>
        <w:t xml:space="preserve">[Senator / Representative / President] [Last Name]</w:t>
      </w:r>
      <w:r>
        <w:rPr>
          <w:rFonts w:ascii="Georgia" w:cs="Georgia" w:eastAsia="Georgia" w:hAnsi="Georgia"/>
          <w:sz w:val="23"/>
          <w:szCs w:val="23"/>
        </w:rPr>
        <w:t xml:space="preserve">:</w:t>
      </w:r>
    </w:p>
    <w:p>
      <w:pPr>
        <w:spacing w:after="120" w:before="120" w:line="360"/>
        <w:jc w:val="both"/>
      </w:pPr>
      <w:r>
        <w:rPr>
          <w:rFonts w:ascii="Georgia" w:cs="Georgia" w:eastAsia="Georgia" w:hAnsi="Georgia"/>
          <w:sz w:val="23"/>
          <w:szCs w:val="23"/>
        </w:rPr>
        <w:t xml:space="preserve">I am a constituent of yours writing as an American citizen, an independent journalist, and a voter who is no longer willing to accept the structural condition of the country as the inheritance my generation is being asked to leave to the next. I am not writing as a member of either political party. I am writing because the American dream is fading by every available measure, because the institutions whose conduct affects every aspect of ordinary life are operating in ways their own internal records document as failures, and because you are one of a small number of people in a position to either act on what the documented record requires or to become, by your inaction, part of the record itself.</w:t>
      </w:r>
    </w:p>
    <w:p>
      <w:pPr>
        <w:spacing w:after="120" w:before="120" w:line="360"/>
        <w:jc w:val="both"/>
      </w:pPr>
      <w:r>
        <w:rPr>
          <w:rFonts w:ascii="Georgia" w:cs="Georgia" w:eastAsia="Georgia" w:hAnsi="Georgia"/>
          <w:sz w:val="23"/>
          <w:szCs w:val="23"/>
        </w:rPr>
        <w:t xml:space="preserve">I want to state the foundational claim plainly. The 2014 peer-reviewed study by Princeton political scientist Martin Gilens and Northwestern political scientist Benjamin Page, published in the journal Perspectives on Politics, examined 1,779 distinct policy outcomes over a twenty-year period and found that the preferences of average American citizens have, statistically, a near-zero and non-significant impact on federal policy outcomes, while the preferences of economic elites and organized business interests strongly predict policy. The American political system, as it currently functions, is an oligarchy by the standard political-science definition. This is not rhetoric. It is the empirical finding of a peer-reviewed study conducted at two of the most respected American universities. It has been substantially confirmed by subsequent research. I am writing because I do not accept that this finding describes a permanent condition. I am writing to ask you to be part of correcting it.</w:t>
      </w:r>
    </w:p>
    <w:p>
      <w:pPr>
        <w:spacing w:after="120" w:before="120" w:line="360"/>
        <w:jc w:val="both"/>
      </w:pPr>
      <w:r>
        <w:rPr>
          <w:rFonts w:ascii="Georgia" w:cs="Georgia" w:eastAsia="Georgia" w:hAnsi="Georgia"/>
          <w:sz w:val="23"/>
          <w:szCs w:val="23"/>
        </w:rPr>
        <w:t xml:space="preserve">What follows is a list of specific federal actions I am asking you to take. Each falls within your federal authority. Each is supported by documented public evidence. Each is achievable within the next several congressional sessions if the political coalition for it is assembled and sustained. I am asking you to be part of that coalition.</w:t>
      </w:r>
    </w:p>
    <w:p>
      <w:pPr>
        <w:spacing w:after="140" w:before="280"/>
      </w:pPr>
      <w:r>
        <w:rPr>
          <w:rFonts w:ascii="Arial" w:cs="Arial" w:eastAsia="Arial" w:hAnsi="Arial"/>
          <w:b/>
          <w:bCs/>
          <w:color w:val="1A1A2E"/>
          <w:sz w:val="24"/>
          <w:szCs w:val="24"/>
        </w:rPr>
        <w:t xml:space="preserve">Healthcare affordability — the single most urgent material issue</w:t>
      </w:r>
    </w:p>
    <w:p>
      <w:pPr>
        <w:spacing w:after="120" w:before="120" w:line="360"/>
        <w:jc w:val="both"/>
      </w:pPr>
      <w:r>
        <w:rPr>
          <w:rFonts w:ascii="Georgia" w:cs="Georgia" w:eastAsia="Georgia" w:hAnsi="Georgia"/>
          <w:sz w:val="23"/>
          <w:szCs w:val="23"/>
        </w:rPr>
        <w:t xml:space="preserve">Americans pay roughly two to three times what citizens of peer industrial democracies pay for prescription drugs, and Americans die at rates substantially exceeding those of peer democracies for conditions that are treatable when treatment is accessible. The Himmelstein et al. study in the American Journal of Medicine in 2009 found that medical debt was a factor in approximately 62 percent of personal bankruptcies in the United States, and that approximately 78 percent of those filers had health insurance at the time of the bankruptcy-causing illness. The American healthcare system is structured to extract from the sick, and the extraction is happening at the scale of millions of households per year.</w:t>
      </w:r>
    </w:p>
    <w:p>
      <w:pPr>
        <w:spacing w:after="120" w:before="120" w:line="360"/>
        <w:jc w:val="both"/>
      </w:pPr>
      <w:r>
        <w:rPr>
          <w:rFonts w:ascii="Georgia" w:cs="Georgia" w:eastAsia="Georgia" w:hAnsi="Georgia"/>
          <w:sz w:val="23"/>
          <w:szCs w:val="23"/>
        </w:rPr>
        <w:t xml:space="preserve">The federal actions I am asking you to take are:</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full repeal of the Medicare Modernization Act of 2003 provision prohibiting Medicare from negotiating drug prices on behalf of its 65 million beneficiaries. Every other major industrial democracy permits this. The 2022 Inflation Reduction Act made narrow modifications but did not repeal the underlying prohibition. The Congressional Budget Office has repeatedly found that the impact on pharmaceutical research and development would be modest while savings to patients and to the federal budget would be substantial.</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expansion of Medicare eligibility to all Americans through a public option or single-payer transition, with appropriate phase-in periods and protections for current insurance arrangements. The structural argument is that healthcare is not a market good — markets fail under conditions of asymmetric information and inelastic demand, which are the defining conditions of medical care.</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criminal liability for executives of pharmaceutical companies who knowingly misrepresent the addiction risk or safety profile of their products. The Sackler family extracted approximately eleven billion dollars from Purdue Pharma before its bankruptcy and has not faced criminal charges despite Purdue's October 2020 guilty plea to three federal felonies. The current arrangement makes corporate accountability impossible because it converts criminal conduct into a financial liability that the corporation absorbs while the individuals responsible retain their wealth.</w:t>
      </w:r>
    </w:p>
    <w:p>
      <w:pPr>
        <w:spacing w:after="140" w:before="280"/>
      </w:pPr>
      <w:r>
        <w:rPr>
          <w:rFonts w:ascii="Arial" w:cs="Arial" w:eastAsia="Arial" w:hAnsi="Arial"/>
          <w:b/>
          <w:bCs/>
          <w:color w:val="1A1A2E"/>
          <w:sz w:val="24"/>
          <w:szCs w:val="24"/>
        </w:rPr>
        <w:t xml:space="preserve">Education — the second front of structural extraction</w:t>
      </w:r>
    </w:p>
    <w:p>
      <w:pPr>
        <w:spacing w:after="120" w:before="120" w:line="360"/>
        <w:jc w:val="both"/>
      </w:pPr>
      <w:r>
        <w:rPr>
          <w:rFonts w:ascii="Georgia" w:cs="Georgia" w:eastAsia="Georgia" w:hAnsi="Georgia"/>
          <w:sz w:val="23"/>
          <w:szCs w:val="23"/>
        </w:rPr>
        <w:t xml:space="preserve">Total American student debt exceeds 1.77 trillion dollars. The Federal Reserve Bank of New York's quarterly household debt and credit reports document the structural effect — millions of Americans whose educational debt prevents them from accumulating retirement savings, purchasing homes, starting families, or starting businesses. The 2005 bankruptcy reform act removed bankruptcy protection from federal student loans specifically. The removal was lobbied for by the lending industry. The borrower has been left with no remedy.</w:t>
      </w:r>
    </w:p>
    <w:p>
      <w:pPr>
        <w:spacing w:after="120" w:before="120" w:line="360"/>
        <w:jc w:val="both"/>
      </w:pPr>
      <w:r>
        <w:rPr>
          <w:rFonts w:ascii="Georgia" w:cs="Georgia" w:eastAsia="Georgia" w:hAnsi="Georgia"/>
          <w:sz w:val="23"/>
          <w:szCs w:val="23"/>
        </w:rPr>
        <w:t xml:space="preserve">The federal actions I am asking you to take are:</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restoration of bankruptcy protection to student debt, both federal and private, under the same terms that apply to other categories of consumer debt. The protection was removed by deliberate political action. It can be restored by deliberate political action.</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targeted forgiveness of student debt for borrowers whose education did not produce the income outcomes that would make the debt repayable on the original terms. The total federal student loan portfolio of 1.77 trillion dollars is comparable to the lifetime cost of the F-35 program. The latter has been funded without serious debate. The former has been treated as politically impossible. The asymmetry is itself the political question.</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a structural shift from the current student-debt-financed model of higher education toward the public investment model that operated during the post-World War II period and produced the most educated workforce in human history. The shift away from public investment in the late 1970s was a deliberate political choice. The choice can be reversed.</w:t>
      </w:r>
    </w:p>
    <w:p>
      <w:pPr>
        <w:spacing w:after="140" w:before="280"/>
      </w:pPr>
      <w:r>
        <w:rPr>
          <w:rFonts w:ascii="Arial" w:cs="Arial" w:eastAsia="Arial" w:hAnsi="Arial"/>
          <w:b/>
          <w:bCs/>
          <w:color w:val="1A1A2E"/>
          <w:sz w:val="24"/>
          <w:szCs w:val="24"/>
        </w:rPr>
        <w:t xml:space="preserve">Federal legalization of cannabis with revenue allocation</w:t>
      </w:r>
    </w:p>
    <w:p>
      <w:pPr>
        <w:spacing w:after="120" w:before="120" w:line="360"/>
        <w:jc w:val="both"/>
      </w:pPr>
      <w:r>
        <w:rPr>
          <w:rFonts w:ascii="Georgia" w:cs="Georgia" w:eastAsia="Georgia" w:hAnsi="Georgia"/>
          <w:sz w:val="23"/>
          <w:szCs w:val="23"/>
        </w:rPr>
        <w:t xml:space="preserve">Cannabis is a Schedule I controlled substance under the Controlled Substances Act, classified at the same level as heroin and as more restrictive than fentanyl. The classification is not supported by any honest reading of the comparative evidence on harm. The classification has produced approximately 600,000 cannabis-related arrests per year in recent years, with disproportionate enforcement against Black and Latino Americans documented across every major study of the question. The federal prohibition continues to exist primarily because the political coalition that benefits from it — including private prison operators, certain pharmaceutical interests, and the federal law enforcement budget that depends on continued criminalization — has been more politically organized than the coalition that would benefit from reform.</w:t>
      </w:r>
    </w:p>
    <w:p>
      <w:pPr>
        <w:spacing w:after="120" w:before="120" w:line="360"/>
        <w:jc w:val="both"/>
      </w:pPr>
      <w:r>
        <w:rPr>
          <w:rFonts w:ascii="Georgia" w:cs="Georgia" w:eastAsia="Georgia" w:hAnsi="Georgia"/>
          <w:sz w:val="23"/>
          <w:szCs w:val="23"/>
        </w:rPr>
        <w:t xml:space="preserve">The federal actions I am asking you to take are:</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full removal of cannabis from the federal controlled substances schedule, with federal regulation comparable to alcohol and tobacco — age restrictions, advertising restrictions, product safety standards, and interstate commerce regulation.</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a federal excise tax structure on legal cannabis, modeled on the existing federal excise taxes on alcohol and tobacco. Conservative estimates by the Tax Foundation and the Congressional Joint Committee on Taxation place federal cannabis tax revenue under a moderate excise tax structure between 8.5 billion and 28 billion dollars per year at maturity, depending on tax rate, market structure, and elasticity assumptions. State and local revenue would add substantially to those federal totals — Colorado alone collected over 423 million in cannabis tax revenue in 2021, and the state-by-state extrapolation under federal legalization places total annual government revenue across all three levels in the range of 25 to 50 billion dollars at maturity.</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statutory allocation of federal cannabis tax revenue to the specific purposes most directly relevant to the harm the prohibition produced — substance abuse treatment programs, expungement of prior cannabis convictions with restoration of civil rights, public health education programs, and reinvestment in the communities disproportionately damaged by enforcement. The revenue should serve repair, not general appropriation.</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automatic expungement of prior federal cannabis convictions for offenses that would not be crimes under legalization, with restoration of voting rights, employment eligibility, and access to federal benefits where those have been lost as a consequence of prior convictions.</w:t>
      </w:r>
    </w:p>
    <w:p>
      <w:pPr>
        <w:spacing w:after="140" w:before="280"/>
      </w:pPr>
      <w:r>
        <w:rPr>
          <w:rFonts w:ascii="Arial" w:cs="Arial" w:eastAsia="Arial" w:hAnsi="Arial"/>
          <w:b/>
          <w:bCs/>
          <w:color w:val="1A1A2E"/>
          <w:sz w:val="24"/>
          <w:szCs w:val="24"/>
        </w:rPr>
        <w:t xml:space="preserve">Accountability — audit reform across federal agencies</w:t>
      </w:r>
    </w:p>
    <w:p>
      <w:pPr>
        <w:spacing w:after="120" w:before="120" w:line="360"/>
        <w:jc w:val="both"/>
      </w:pPr>
      <w:r>
        <w:rPr>
          <w:rFonts w:ascii="Georgia" w:cs="Georgia" w:eastAsia="Georgia" w:hAnsi="Georgia"/>
          <w:sz w:val="23"/>
          <w:szCs w:val="23"/>
        </w:rPr>
        <w:t xml:space="preserve">The Department of Defense has failed every annual financial audit since the audit requirement was established in 1990. Thirty-five consecutive years of failed audits, involving trillions of dollars in unsupported transactions, with no senior official removed and no appropriations reduced. The pattern is the documented record. The remedy is not another report calling for the Department to do better.</w:t>
      </w:r>
    </w:p>
    <w:p>
      <w:pPr>
        <w:spacing w:after="120" w:before="120" w:line="360"/>
        <w:jc w:val="both"/>
      </w:pPr>
      <w:r>
        <w:rPr>
          <w:rFonts w:ascii="Georgia" w:cs="Georgia" w:eastAsia="Georgia" w:hAnsi="Georgia"/>
          <w:sz w:val="23"/>
          <w:szCs w:val="23"/>
        </w:rPr>
        <w:t xml:space="preserve">The pattern is not limited to the Department of Defense. Welfare program fraud, federal childcare program oversight failures, Immigration and Customs Enforcement contracting irregularities, and the broader pattern of unaudited or under-audited federal spending across agencies and across program categories — all of these involve federal dollars whose disposition is opaque to the citizens who provide the dollars. The accountability question is not a partisan question. It is the basic question of whether public funds are being spent on the purposes Congress authorized, and whether the citizens who provide the funds have the right to know the answer.</w:t>
      </w:r>
    </w:p>
    <w:p>
      <w:pPr>
        <w:spacing w:after="120" w:before="120" w:line="360"/>
        <w:jc w:val="both"/>
      </w:pPr>
      <w:r>
        <w:rPr>
          <w:rFonts w:ascii="Georgia" w:cs="Georgia" w:eastAsia="Georgia" w:hAnsi="Georgia"/>
          <w:sz w:val="23"/>
          <w:szCs w:val="23"/>
        </w:rPr>
        <w:t xml:space="preserve">The federal actions I am asking you to take are:</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legislation conditioning Department of Defense appropriations on passing the annual financial audit, with proportional reductions tied directly to the percentage of unsupported transactions identified in the most recent failed audit. The reduction must be automatic, not discretionary, because thirty-five years of discretionary remedies have produced no improvement.</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comparable audit-and-accountability requirements across all federal agencies, with specific carveouts for legitimately classified line items. The carveouts must be structured so that classified spending totals can be verified and unsupported transactions can be identified without requiring disclosure of classified specifics. The principle is that classification protects content, not arithmetic. A two-hundred-billion-dollar aircraft program can be audited for total cost, contractor compliance, and unsupported transactions without releasing classified specifications of the aircraft. The current arrangement, in which classification is used to prevent any auditing at all, is an abuse of the classification system.</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investigation and reform of federal welfare program fraud, childcare program oversight failures, and Immigration and Customs Enforcement contracting practices, with the same accountability standards applied across all categories of federal spending. Accountability is not biased policy. It is the baseline expectation of any government that takes public funds.</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a civilian oversight framework for federal intelligence agencies, modeled on the Church Committee precedent of 1975-1976, with broad subpoena authority, mandatory periodic public reporting, and a rotation system designed to prevent long-term capture by the agencies being overseen. The Foreign Intelligence Surveillance Court has documented in declassified opinions that the FBI improperly searched the Section 702 database for information about Americans more than 278,000 times in an 18-month period, including against journalists, protesters, and members of Congress. The current oversight regime is not working.</w:t>
      </w:r>
    </w:p>
    <w:p>
      <w:pPr>
        <w:spacing w:after="140" w:before="280"/>
      </w:pPr>
      <w:r>
        <w:rPr>
          <w:rFonts w:ascii="Arial" w:cs="Arial" w:eastAsia="Arial" w:hAnsi="Arial"/>
          <w:b/>
          <w:bCs/>
          <w:color w:val="1A1A2E"/>
          <w:sz w:val="24"/>
          <w:szCs w:val="24"/>
        </w:rPr>
        <w:t xml:space="preserve">Foreign government influence in American policy</w:t>
      </w:r>
    </w:p>
    <w:p>
      <w:pPr>
        <w:spacing w:after="120" w:before="120" w:line="360"/>
        <w:jc w:val="both"/>
      </w:pPr>
      <w:r>
        <w:rPr>
          <w:rFonts w:ascii="Georgia" w:cs="Georgia" w:eastAsia="Georgia" w:hAnsi="Georgia"/>
          <w:sz w:val="23"/>
          <w:szCs w:val="23"/>
        </w:rPr>
        <w:t xml:space="preserve">I want to raise this section separately because it requires careful framing and because it is the item most likely to be misread if it is not stated with precision.</w:t>
      </w:r>
    </w:p>
    <w:p>
      <w:pPr>
        <w:spacing w:after="120" w:before="120" w:line="360"/>
        <w:jc w:val="both"/>
      </w:pPr>
      <w:r>
        <w:rPr>
          <w:rFonts w:ascii="Georgia" w:cs="Georgia" w:eastAsia="Georgia" w:hAnsi="Georgia"/>
          <w:sz w:val="23"/>
          <w:szCs w:val="23"/>
        </w:rPr>
        <w:t xml:space="preserve">I am asking you to support full and consistent enforcement of the Foreign Agents Registration Act, 22 U.S.C. § 611 et seq., particularly with respect to organizations that engage in political activity in the United States on behalf of, or at the direction of, foreign governments. This is a long-standing federal statute. Its enforcement has been, by the documented record, inconsistent and selective.</w:t>
      </w:r>
    </w:p>
    <w:p>
      <w:pPr>
        <w:spacing w:after="120" w:before="120" w:line="360"/>
        <w:jc w:val="both"/>
      </w:pPr>
      <w:r>
        <w:rPr>
          <w:rFonts w:ascii="Georgia" w:cs="Georgia" w:eastAsia="Georgia" w:hAnsi="Georgia"/>
          <w:sz w:val="23"/>
          <w:szCs w:val="23"/>
        </w:rPr>
        <w:t xml:space="preserve">The 1962-1963 Senate Foreign Relations Committee hearings, conducted under Senator J. William Fulbright, documented that the American Zionist Council — the organizational predecessor of the American Israel Public Affairs Committee — was operating in the United States under arrangements that the Department of Justice itself, in declassified records, identified as requiring registration as a foreign agent. The Department of Justice sent a formal letter to the American Zionist Council in 1962 directing it to register under FARA. The organization restructured to evade the requirement. The federal records documenting this were declassified in 2008, forty-six years after the events. They are available at the National Archives. They are not speculative claims.</w:t>
      </w:r>
    </w:p>
    <w:p>
      <w:pPr>
        <w:spacing w:after="120" w:before="120" w:line="360"/>
        <w:jc w:val="both"/>
      </w:pPr>
      <w:r>
        <w:rPr>
          <w:rFonts w:ascii="Georgia" w:cs="Georgia" w:eastAsia="Georgia" w:hAnsi="Georgia"/>
          <w:sz w:val="23"/>
          <w:szCs w:val="23"/>
        </w:rPr>
        <w:t xml:space="preserve">I want to be precise about what I am and am not saying. The Jewish American community is a fundamental part of the American story, and the contributions of Jewish Americans to every domain of American life are extraordinary and irreplaceable. Antisemitism is a real and growing danger that I oppose without qualification. What I am raising is a distinct question about a specific organization, its specific historical conduct documented in declassified federal records, and the broader American constitutional principle that no organization representing the interests of a foreign government — Israeli, Saudi, Qatari, Turkish, Chinese, British, or any other — should operate political influence campaigns in the United States outside the registration framework that Congress established precisely to make such activity transparent. The principle is not selective. The application has been selective. I am asking for consistent application.</w:t>
      </w:r>
    </w:p>
    <w:p>
      <w:pPr>
        <w:spacing w:after="120" w:before="120" w:line="360"/>
        <w:jc w:val="both"/>
      </w:pPr>
      <w:r>
        <w:rPr>
          <w:rFonts w:ascii="Georgia" w:cs="Georgia" w:eastAsia="Georgia" w:hAnsi="Georgia"/>
          <w:sz w:val="23"/>
          <w:szCs w:val="23"/>
        </w:rPr>
        <w:t xml:space="preserve">I am also asking you to consider the documented historical record of American servicemen killed by foreign government action without subsequent accountability. The June 8, 1967 Israeli attack on the USS Liberty in international waters killed 34 American servicemen and wounded 174. The senior legal counsel to the Naval Court of Inquiry, retired Navy Captain Ward Boston Jr., signed a sworn affidavit on October 22, 2003 stating that the inquiry was ordered by President Johnson and Defense Secretary McNamara to find the attack was a case of mistaken identity, that the investigation was given only one week when a proper inquiry would have required at least six months, and that he and Admiral Kidd believed the attack was deliberate. This event has never received a full congressional inquiry. The American servicemen who died and the families who lost loved ones deserve one.</w:t>
      </w:r>
    </w:p>
    <w:p>
      <w:pPr>
        <w:spacing w:after="120" w:before="120" w:line="360"/>
        <w:jc w:val="both"/>
      </w:pPr>
      <w:r>
        <w:rPr>
          <w:rFonts w:ascii="Georgia" w:cs="Georgia" w:eastAsia="Georgia" w:hAnsi="Georgia"/>
          <w:sz w:val="23"/>
          <w:szCs w:val="23"/>
        </w:rPr>
        <w:t xml:space="preserve">There is a substantial domestic political coalition — generally identified as Christian Zionism — whose theological commitments include support for Israeli territorial maximalism and military action against perceived adversaries of Israel as a matter of religious belief. The coalition has substantial political influence within one of the two major American political parties. Its theological commitments do not align with the foreign policy interests of the United States. They have nevertheless influenced American foreign policy in ways that have justified American military commitments and the loss of American and foreign lives in conflicts whose connection to American national interest is, at minimum, contested. The First Amendment establishes the separation of church and state. Religious theological commitments influencing American foreign policy in ways that justify war and the loss of life is a legitimate constitutional concern. I am asking you to engage publicly with the question of how religious theological commitments — of any faith tradition — should and should not influence American foreign policy.</w:t>
      </w:r>
    </w:p>
    <w:p>
      <w:pPr>
        <w:spacing w:after="120" w:before="120" w:line="360"/>
        <w:jc w:val="both"/>
      </w:pPr>
      <w:r>
        <w:rPr>
          <w:rFonts w:ascii="Georgia" w:cs="Georgia" w:eastAsia="Georgia" w:hAnsi="Georgia"/>
          <w:sz w:val="23"/>
          <w:szCs w:val="23"/>
        </w:rPr>
        <w:t xml:space="preserve">I anticipate that some of what I have written here will be characterized as antisemitism. I want to address that characterization directly. Criticism of a specific foreign government, of specific organizations that lobby on behalf of that government, of specific elected officials whose voting records on foreign policy questions raise legitimate American constitutional concerns, and of specific theological movements that influence American policy — none of these is antisemitism. The conflation of these distinct questions with antisemitism is a documented rhetorical strategy whose function is to prevent the substantive questions from being addressed. I am not engaging in that conflation. I am asking you not to permit it to be used to dismiss the substantive questions I have raised.</w:t>
      </w:r>
    </w:p>
    <w:p>
      <w:pPr>
        <w:spacing w:after="120" w:before="120" w:line="360"/>
        <w:jc w:val="both"/>
      </w:pPr>
      <w:r>
        <w:rPr>
          <w:rFonts w:ascii="Georgia" w:cs="Georgia" w:eastAsia="Georgia" w:hAnsi="Georgia"/>
          <w:sz w:val="23"/>
          <w:szCs w:val="23"/>
        </w:rPr>
        <w:t xml:space="preserve">The specific actions I am asking on this set of concerns: support full and consistent FARA enforcement; support a full congressional inquiry into the 1967 USS Liberty attack; support legislation requiring that American foreign aid to all recipients be conditioned on documented compliance with international humanitarian law with credible mechanisms for verification and enforcement; and support public conversation, conducted with the seriousness it requires, about the proper relationship between religious theological commitments and the conduct of American foreign policy.</w:t>
      </w:r>
    </w:p>
    <w:p>
      <w:pPr>
        <w:spacing w:after="140" w:before="280"/>
      </w:pPr>
      <w:r>
        <w:rPr>
          <w:rFonts w:ascii="Arial" w:cs="Arial" w:eastAsia="Arial" w:hAnsi="Arial"/>
          <w:b/>
          <w:bCs/>
          <w:color w:val="1A1A2E"/>
          <w:sz w:val="24"/>
          <w:szCs w:val="24"/>
        </w:rPr>
        <w:t xml:space="preserve">Surveillance, declassification, and democratic accountability</w:t>
      </w:r>
    </w:p>
    <w:p>
      <w:pPr>
        <w:spacing w:after="120" w:before="120" w:line="360"/>
        <w:jc w:val="both"/>
      </w:pPr>
      <w:r>
        <w:rPr>
          <w:rFonts w:ascii="Georgia" w:cs="Georgia" w:eastAsia="Georgia" w:hAnsi="Georgia"/>
          <w:sz w:val="23"/>
          <w:szCs w:val="23"/>
        </w:rPr>
        <w:t xml:space="preserve">The remaining structural items I am asking you to act on:</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meaningful reform or sunset of FISA Section 702. The current authority has been used in ways the FISC itself has documented as improper, against categories of Americans whose protected First Amendment activity should never be the basis of surveillance.</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the Ban Conflicted Trading Act, the PELOSI Act, or equivalent legislation prohibiting individual stock trading by Members of Congress, their spouses, and senior staff. The current arrangement would constitute prosecutable insider trading in any private context.</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full declassification of the remaining classified records under the JFK Records Act and the partially classified records of the 9/11 Joint Inquiry. The continuing classification, in cases where no current intelligence-source-or-method justification can be articulated, has no legitimate basis under Executive Order 13526.</w:t>
      </w:r>
    </w:p>
    <w:p>
      <w:pPr>
        <w:spacing w:after="80" w:before="80" w:line="340"/>
        <w:ind w:left="540" w:hanging="360"/>
      </w:pPr>
      <w:r>
        <w:rPr>
          <w:rFonts w:ascii="Georgia" w:cs="Georgia" w:eastAsia="Georgia" w:hAnsi="Georgia"/>
          <w:b/>
          <w:bCs/>
          <w:sz w:val="23"/>
          <w:szCs w:val="23"/>
        </w:rPr>
        <w:t xml:space="preserve">•  </w:t>
      </w:r>
      <w:r>
        <w:rPr>
          <w:rFonts w:ascii="Georgia" w:cs="Georgia" w:eastAsia="Georgia" w:hAnsi="Georgia"/>
          <w:sz w:val="23"/>
          <w:szCs w:val="23"/>
        </w:rPr>
        <w:t xml:space="preserve">Support a constitutional amendment authorizing Congress to regulate campaign spending, restoring the legislative authority that the Supreme Court's 2010 Citizens United decision removed. Surveys consistently show large majorities of Americans across both political parties support campaign finance reform. The amendment is the structural prerequisite for restoring genuine democratic responsiveness to ordinary citizens.</w:t>
      </w:r>
    </w:p>
    <w:p>
      <w:pPr>
        <w:spacing w:after="140" w:before="280"/>
      </w:pPr>
      <w:r>
        <w:rPr>
          <w:rFonts w:ascii="Arial" w:cs="Arial" w:eastAsia="Arial" w:hAnsi="Arial"/>
          <w:b/>
          <w:bCs/>
          <w:color w:val="1A1A2E"/>
          <w:sz w:val="24"/>
          <w:szCs w:val="24"/>
        </w:rPr>
        <w:t xml:space="preserve">A word about how I will use your response</w:t>
      </w:r>
    </w:p>
    <w:p>
      <w:pPr>
        <w:spacing w:after="120" w:before="120" w:line="360"/>
        <w:jc w:val="both"/>
      </w:pPr>
      <w:r>
        <w:rPr>
          <w:rFonts w:ascii="Georgia" w:cs="Georgia" w:eastAsia="Georgia" w:hAnsi="Georgia"/>
          <w:sz w:val="23"/>
          <w:szCs w:val="23"/>
        </w:rPr>
        <w:t xml:space="preserve">I am an independent journalist. I publish at structuralhumanism.com. My work is read by an expanding audience of Americans who are paying attention to the structural condition of the country and who are no longer satisfied with the conventional political narratives that have produced the current arrangement. I will be publishing the substantive responses I receive to this letter, and I will be publishing the names of officials who provide only form letters or no response at all. This is not a threat. It is the basic exercise of the journalistic function. The accountability of public officials to the public they serve is the mechanism by which democratic government operates. I am part of that mechanism, in the small way available to one citizen with a publication.</w:t>
      </w:r>
    </w:p>
    <w:p>
      <w:pPr>
        <w:spacing w:after="120" w:before="120" w:line="360"/>
        <w:jc w:val="both"/>
      </w:pPr>
      <w:r>
        <w:rPr>
          <w:rFonts w:ascii="Georgia" w:cs="Georgia" w:eastAsia="Georgia" w:hAnsi="Georgia"/>
          <w:sz w:val="23"/>
          <w:szCs w:val="23"/>
        </w:rPr>
        <w:t xml:space="preserve">I am asking you for a substantive reply — not a form letter, but a statement of your position on the specific items above. I hope that you, or your staff on your behalf, will respond with that substance. I hope you will not become part of the documented record of officials whose inaction on these structural questions has been a meaningful contribution to the current condition of the country. The American people are at the lowest measured quality of life on every available indicator since reliable measurement began. The American dream is fading by every available measure. The institutions that should be addressing this are instead protecting the arrangement that produces it. The condition is not natural. It is the product of choices made by specific people, including elected officials such as yourself, over the past forty years. The choices can be different. I am asking you to make different ones.</w:t>
      </w:r>
    </w:p>
    <w:p>
      <w:pPr>
        <w:spacing w:after="120" w:before="120" w:line="360"/>
        <w:jc w:val="both"/>
      </w:pPr>
      <w:r>
        <w:rPr>
          <w:rFonts w:ascii="Georgia" w:cs="Georgia" w:eastAsia="Georgia" w:hAnsi="Georgia"/>
          <w:sz w:val="23"/>
          <w:szCs w:val="23"/>
        </w:rPr>
        <w:t xml:space="preserve">I will be writing again. I will be paying attention to your votes. I will be voting accordingly. I will be telling other constituents in your district what I have found in your record. I will be working, in my small way, with the millions of other Americans who are also paying attention and also acting accordingly, to assemble the political coalition that can produce the structural reforms the country requires. I would rather work with you than against you. The choice between those two outcomes is, in this moment, yours.</w:t>
      </w:r>
    </w:p>
    <w:p>
      <w:pPr>
        <w:spacing w:after="120" w:before="120" w:line="360"/>
        <w:jc w:val="both"/>
      </w:pPr>
      <w:r>
        <w:rPr>
          <w:rFonts w:ascii="Georgia" w:cs="Georgia" w:eastAsia="Georgia" w:hAnsi="Georgia"/>
          <w:sz w:val="23"/>
          <w:szCs w:val="23"/>
        </w:rPr>
        <w:t xml:space="preserve">Complacency is not neutrality. The failure to perform civic and political duty when the duty is clear is itself a form of harm. I am writing to you because I refuse to be complacent. I am asking you the same.</w:t>
      </w:r>
    </w:p>
    <w:p>
      <w:pPr>
        <w:spacing w:after="120" w:before="120" w:line="360"/>
        <w:jc w:val="both"/>
      </w:pPr>
      <w:r>
        <w:rPr>
          <w:rFonts w:ascii="Georgia" w:cs="Georgia" w:eastAsia="Georgia" w:hAnsi="Georgia"/>
          <w:sz w:val="23"/>
          <w:szCs w:val="23"/>
        </w:rPr>
        <w:t xml:space="preserve">Thank you for your time. I look forward to your reply.</w:t>
      </w:r>
    </w:p>
    <w:p>
      <w:pPr>
        <w:spacing w:after="0" w:before="200"/>
      </w:pPr>
      <w:r>
        <w:t xml:space="preserve"/>
      </w:r>
    </w:p>
    <w:p>
      <w:pPr>
        <w:spacing w:after="120" w:before="120" w:line="360"/>
        <w:jc w:val="both"/>
      </w:pPr>
      <w:r>
        <w:rPr>
          <w:rFonts w:ascii="Georgia" w:cs="Georgia" w:eastAsia="Georgia" w:hAnsi="Georgia"/>
          <w:sz w:val="23"/>
          <w:szCs w:val="23"/>
        </w:rPr>
        <w:t xml:space="preserve">Respectfully,</w:t>
      </w:r>
    </w:p>
    <w:p>
      <w:pPr>
        <w:spacing w:after="0" w:before="600"/>
      </w:pPr>
      <w:r>
        <w:t xml:space="preserve"/>
      </w:r>
    </w:p>
    <w:p>
      <w:pPr>
        <w:spacing w:after="80" w:before="80"/>
      </w:pPr>
      <w:r>
        <w:rPr>
          <w:rFonts w:ascii="Georgia" w:cs="Georgia" w:eastAsia="Georgia" w:hAnsi="Georgia"/>
          <w:sz w:val="23"/>
          <w:szCs w:val="23"/>
        </w:rPr>
        <w:t xml:space="preserve">Kai Jashon Price</w:t>
      </w:r>
    </w:p>
    <w:p>
      <w:pPr>
        <w:spacing w:after="80" w:before="80"/>
      </w:pPr>
      <w:r>
        <w:rPr>
          <w:rFonts w:ascii="Georgia" w:cs="Georgia" w:eastAsia="Georgia" w:hAnsi="Georgia"/>
          <w:sz w:val="23"/>
          <w:szCs w:val="23"/>
        </w:rPr>
        <w:t xml:space="preserve">Independent Journalist</w:t>
      </w:r>
    </w:p>
    <w:p>
      <w:pPr>
        <w:spacing w:after="80" w:before="80"/>
      </w:pPr>
      <w:r>
        <w:rPr>
          <w:rFonts w:ascii="Georgia" w:cs="Georgia" w:eastAsia="Georgia" w:hAnsi="Georgia"/>
          <w:sz w:val="23"/>
          <w:szCs w:val="23"/>
        </w:rPr>
        <w:t xml:space="preserve">https://structuralhumanism.com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2026-05-22T23:38:26.330Z</dcterms:created>
  <dcterms:modified xsi:type="dcterms:W3CDTF">2026-05-22T23:38:26.343Z</dcterms:modified>
</cp:coreProperties>
</file>

<file path=docProps/custom.xml><?xml version="1.0" encoding="utf-8"?>
<Properties xmlns="http://schemas.openxmlformats.org/officeDocument/2006/custom-properties" xmlns:vt="http://schemas.openxmlformats.org/officeDocument/2006/docPropsVTypes"/>
</file>