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rPr>
          <w:rFonts w:ascii="Georgia" w:cs="Georgia" w:eastAsia="Georgia" w:hAnsi="Georgia"/>
          <w:sz w:val="23"/>
          <w:szCs w:val="23"/>
        </w:rPr>
        <w:t xml:space="preserve">Kai Jashon Price</w:t>
      </w:r>
    </w:p>
    <w:p>
      <w:pPr>
        <w:spacing w:after="80" w:before="80"/>
      </w:pPr>
      <w:r>
        <w:rPr>
          <w:rFonts w:ascii="Georgia" w:cs="Georgia" w:eastAsia="Georgia" w:hAnsi="Georgia"/>
          <w:sz w:val="23"/>
          <w:szCs w:val="23"/>
        </w:rPr>
        <w:t xml:space="preserve">Jacksonville, North Carolina</w:t>
      </w:r>
    </w:p>
    <w:p>
      <w:pPr>
        <w:spacing w:after="80" w:before="80"/>
      </w:pPr>
      <w:r>
        <w:rPr>
          <w:rFonts w:ascii="Georgia" w:cs="Georgia" w:eastAsia="Georgia" w:hAnsi="Georgia"/>
          <w:sz w:val="23"/>
          <w:szCs w:val="23"/>
        </w:rPr>
        <w:t xml:space="preserve">Independent Party  /  Independent Journalist</w:t>
      </w:r>
    </w:p>
    <w:p>
      <w:pPr>
        <w:spacing w:after="80" w:before="80"/>
      </w:pPr>
      <w:r>
        <w:rPr>
          <w:rFonts w:ascii="Georgia" w:cs="Georgia" w:eastAsia="Georgia" w:hAnsi="Georgia"/>
          <w:sz w:val="23"/>
          <w:szCs w:val="23"/>
        </w:rPr>
        <w:t xml:space="preserve">https://structuralhumanism.com</w:t>
      </w:r>
    </w:p>
    <w:p>
      <w:pPr>
        <w:spacing w:after="0" w:before="200"/>
      </w:pPr>
      <w:r>
        <w:t xml:space="preserve"/>
      </w:r>
    </w:p>
    <w:p>
      <w:pPr>
        <w:spacing w:after="80" w:before="80"/>
      </w:pPr>
      <w:r>
        <w:rPr>
          <w:rFonts w:ascii="Georgia" w:cs="Georgia" w:eastAsia="Georgia" w:hAnsi="Georgia"/>
          <w:b/>
          <w:bCs/>
          <w:color w:val="B00000"/>
          <w:sz w:val="23"/>
          <w:szCs w:val="23"/>
          <w:highlight w:val="yellow"/>
          <w:highlightCs w:val="yellow"/>
        </w:rPr>
        <w:t xml:space="preserve">[INSERT DATE]</w:t>
      </w:r>
    </w:p>
    <w:p>
      <w:pPr>
        <w:spacing w:after="0" w:before="200"/>
      </w:pPr>
      <w:r>
        <w:t xml:space="preserve"/>
      </w:r>
    </w:p>
    <w:p>
      <w:pPr>
        <w:spacing w:after="80" w:before="80"/>
      </w:pPr>
      <w:r>
        <w:rPr>
          <w:rFonts w:ascii="Georgia" w:cs="Georgia" w:eastAsia="Georgia" w:hAnsi="Georgia"/>
          <w:b/>
          <w:bCs/>
          <w:color w:val="B00000"/>
          <w:sz w:val="23"/>
          <w:szCs w:val="23"/>
          <w:highlight w:val="yellow"/>
          <w:highlightCs w:val="yellow"/>
        </w:rPr>
        <w:t xml:space="preserve">[INSERT RECIPIENT NAME]</w:t>
      </w:r>
    </w:p>
    <w:p>
      <w:pPr>
        <w:spacing w:after="80" w:before="80"/>
      </w:pPr>
      <w:r>
        <w:rPr>
          <w:rFonts w:ascii="Georgia" w:cs="Georgia" w:eastAsia="Georgia" w:hAnsi="Georgia"/>
          <w:b/>
          <w:bCs/>
          <w:color w:val="B00000"/>
          <w:sz w:val="23"/>
          <w:szCs w:val="23"/>
          <w:highlight w:val="yellow"/>
          <w:highlightCs w:val="yellow"/>
        </w:rPr>
        <w:t xml:space="preserve">[INSERT OFFICIAL TITLE — e.g., Governor of North Carolina, State Senator, State Representative, North Carolina Attorney General]</w:t>
      </w:r>
    </w:p>
    <w:p>
      <w:pPr>
        <w:spacing w:after="80" w:before="80"/>
      </w:pPr>
      <w:r>
        <w:rPr>
          <w:rFonts w:ascii="Georgia" w:cs="Georgia" w:eastAsia="Georgia" w:hAnsi="Georgia"/>
          <w:b/>
          <w:bCs/>
          <w:color w:val="B00000"/>
          <w:sz w:val="23"/>
          <w:szCs w:val="23"/>
          <w:highlight w:val="yellow"/>
          <w:highlightCs w:val="yellow"/>
        </w:rPr>
        <w:t xml:space="preserve">[INSERT OFFICE ADDRESS]</w:t>
      </w:r>
    </w:p>
    <w:p>
      <w:pPr>
        <w:spacing w:after="0" w:before="200"/>
      </w:pPr>
      <w:r>
        <w:t xml:space="preserve"/>
      </w:r>
    </w:p>
    <w:p>
      <w:pPr>
        <w:spacing w:after="120" w:before="0" w:line="360"/>
        <w:jc w:val="both"/>
      </w:pPr>
      <w:r>
        <w:rPr>
          <w:rFonts w:ascii="Georgia" w:cs="Georgia" w:eastAsia="Georgia" w:hAnsi="Georgia"/>
          <w:sz w:val="23"/>
          <w:szCs w:val="23"/>
        </w:rPr>
        <w:t xml:space="preserve">Dear </w:t>
      </w:r>
      <w:r>
        <w:rPr>
          <w:rFonts w:ascii="Georgia" w:cs="Georgia" w:eastAsia="Georgia" w:hAnsi="Georgia"/>
          <w:b/>
          <w:bCs/>
          <w:color w:val="B00000"/>
          <w:sz w:val="23"/>
          <w:szCs w:val="23"/>
          <w:highlight w:val="yellow"/>
          <w:highlightCs w:val="yellow"/>
        </w:rPr>
        <w:t xml:space="preserve">[Governor / Senator / Representative / Attorney General] [Last Name]</w:t>
      </w:r>
      <w:r>
        <w:rPr>
          <w:rFonts w:ascii="Georgia" w:cs="Georgia" w:eastAsia="Georgia" w:hAnsi="Georgia"/>
          <w:sz w:val="23"/>
          <w:szCs w:val="23"/>
        </w:rPr>
        <w:t xml:space="preserve">:</w:t>
      </w:r>
    </w:p>
    <w:p>
      <w:pPr>
        <w:spacing w:after="120" w:before="120" w:line="360"/>
        <w:jc w:val="both"/>
      </w:pPr>
      <w:r>
        <w:rPr>
          <w:rFonts w:ascii="Georgia" w:cs="Georgia" w:eastAsia="Georgia" w:hAnsi="Georgia"/>
          <w:sz w:val="23"/>
          <w:szCs w:val="23"/>
        </w:rPr>
        <w:t xml:space="preserve">I am a North Carolina resident writing as a citizen, an independent journalist, and a voter. I am writing because state-level action is the level at which a single committed official, supported by an organized constituency, can produce real structural change within a single legislative session, and because the federal level has demonstrated, across decades and across both parties, that it will not act on the questions ordinary Americans need answered. The state level is where the work is most achievable. I am writing to ask you to take it up.</w:t>
      </w:r>
    </w:p>
    <w:p>
      <w:pPr>
        <w:spacing w:after="120" w:before="120" w:line="360"/>
        <w:jc w:val="both"/>
      </w:pPr>
      <w:r>
        <w:rPr>
          <w:rFonts w:ascii="Georgia" w:cs="Georgia" w:eastAsia="Georgia" w:hAnsi="Georgia"/>
          <w:sz w:val="23"/>
          <w:szCs w:val="23"/>
        </w:rPr>
        <w:t xml:space="preserve">My foundational concern is the documented structural condition of American government. The 2014 peer-reviewed study by political scientists Martin Gilens and Benjamin Page found that the preferences of average American citizens have a near-zero impact on federal policy outcomes, while the preferences of economic elites strongly predict policy. The state level is one of the few remaining venues in which ordinary citizen organizing can produce policy responsive to ordinary citizen interests. That is why what you do matters — not as a smaller version of federal politics, but as the level at which democratic responsiveness has not yet been fully extinguished.</w:t>
      </w:r>
    </w:p>
    <w:p>
      <w:pPr>
        <w:spacing w:after="120" w:before="120" w:line="360"/>
        <w:jc w:val="both"/>
      </w:pPr>
      <w:r>
        <w:rPr>
          <w:rFonts w:ascii="Georgia" w:cs="Georgia" w:eastAsia="Georgia" w:hAnsi="Georgia"/>
          <w:sz w:val="23"/>
          <w:szCs w:val="23"/>
        </w:rPr>
        <w:t xml:space="preserve">What follows is a list of specific state actions I am asking you to take. Each falls within your authority as a North Carolina official. Each is supported by documented evidence from other states that have implemented similar reforms. Each is achievable. The question is whether you will be among the officials who act.</w:t>
      </w:r>
    </w:p>
    <w:p>
      <w:pPr>
        <w:spacing w:after="140" w:before="280"/>
      </w:pPr>
      <w:r>
        <w:rPr>
          <w:rFonts w:ascii="Arial" w:cs="Arial" w:eastAsia="Arial" w:hAnsi="Arial"/>
          <w:b/>
          <w:bCs/>
          <w:color w:val="1A1A2E"/>
          <w:sz w:val="24"/>
          <w:szCs w:val="24"/>
        </w:rPr>
        <w:t xml:space="preserve">Healthcare affordability — Medicaid expansion and beyond</w:t>
      </w:r>
    </w:p>
    <w:p>
      <w:pPr>
        <w:spacing w:after="120" w:before="120" w:line="360"/>
        <w:jc w:val="both"/>
      </w:pPr>
      <w:r>
        <w:rPr>
          <w:rFonts w:ascii="Georgia" w:cs="Georgia" w:eastAsia="Georgia" w:hAnsi="Georgia"/>
          <w:sz w:val="23"/>
          <w:szCs w:val="23"/>
        </w:rPr>
        <w:t xml:space="preserve">North Carolina expanded Medicaid in 2023 after years of refusal, and the expansion has documented benefits to North Carolina residents. The work is not complete. State-level action remains available and necessary on prescription drug affordability, hospital pricing transparency, and protection of rural healthcare access in counties where hospital closures have eliminated access entirely.</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state-level prescription drug affordability boards modeled on Colorado, Maryland, and Washington — independent boards with authority to review prescription drug pricing and to set upper payment limits for state-purchased pharmaceuticals.</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hospital pricing transparency legislation requiring publication of negotiated rates in machine-readable formats with civil penalties for non-compliance. Federal regulations require this; state-level enforcement has been weak.</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rural hospital preservation programs and state-level investment in rural primary care infrastructure, particularly in the eastern counties where access has collapsed.</w:t>
      </w:r>
    </w:p>
    <w:p>
      <w:pPr>
        <w:spacing w:after="140" w:before="280"/>
      </w:pPr>
      <w:r>
        <w:rPr>
          <w:rFonts w:ascii="Arial" w:cs="Arial" w:eastAsia="Arial" w:hAnsi="Arial"/>
          <w:b/>
          <w:bCs/>
          <w:color w:val="1A1A2E"/>
          <w:sz w:val="24"/>
          <w:szCs w:val="24"/>
        </w:rPr>
        <w:t xml:space="preserve">Education — North Carolina school funding and access</w:t>
      </w:r>
    </w:p>
    <w:p>
      <w:pPr>
        <w:spacing w:after="120" w:before="120" w:line="360"/>
        <w:jc w:val="both"/>
      </w:pPr>
      <w:r>
        <w:rPr>
          <w:rFonts w:ascii="Georgia" w:cs="Georgia" w:eastAsia="Georgia" w:hAnsi="Georgia"/>
          <w:sz w:val="23"/>
          <w:szCs w:val="23"/>
        </w:rPr>
        <w:t xml:space="preserve">The Leandro v. State decision and its progeny have, for over thirty years, required North Carolina to provide a constitutionally adequate education to every child. The remedy plan ordered by the courts has been partially implemented and substantially defunded by the General Assembly. The state has been found in contempt of its own constitution by its own courts. The condition is documented, ongoing, and remediable.</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full funding of the Leandro remedy plan as ordered by the courts. The plan was developed by independent experts and adopted by the state. The funding has been withheld for partisan reasons. The withholding is a violation of the state constitution as interpreted by the state Supreme Court.</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increased teacher compensation to at least the regional average, which would address the documented teacher shortage and the cumulative loss of experienced educators to neighboring states.</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increased state-level investment in community college infrastructure, particularly in workforce development programs aligned with the manufacturing and technology sectors that are returning to North Carolina under federal industrial policy.</w:t>
      </w:r>
    </w:p>
    <w:p>
      <w:pPr>
        <w:spacing w:after="140" w:before="280"/>
      </w:pPr>
      <w:r>
        <w:rPr>
          <w:rFonts w:ascii="Arial" w:cs="Arial" w:eastAsia="Arial" w:hAnsi="Arial"/>
          <w:b/>
          <w:bCs/>
          <w:color w:val="1A1A2E"/>
          <w:sz w:val="24"/>
          <w:szCs w:val="24"/>
        </w:rPr>
        <w:t xml:space="preserve">Cannabis legalization at the state level — economic and justice case</w:t>
      </w:r>
    </w:p>
    <w:p>
      <w:pPr>
        <w:spacing w:after="120" w:before="120" w:line="360"/>
        <w:jc w:val="both"/>
      </w:pPr>
      <w:r>
        <w:rPr>
          <w:rFonts w:ascii="Georgia" w:cs="Georgia" w:eastAsia="Georgia" w:hAnsi="Georgia"/>
          <w:sz w:val="23"/>
          <w:szCs w:val="23"/>
        </w:rPr>
        <w:t xml:space="preserve">North Carolina remains one of a decreasing number of states maintaining full prohibition of cannabis for both medical and adult use. Twenty-four states and the District of Columbia have legalized adult-use cannabis. Thirty-eight states and the District have legalized medical cannabis. The pattern of state-level legalization has produced documented evidence on tax revenue, public health outcomes, criminal justice impacts, and economic development. North Carolina has been excluded from these benefits by deliberate political choice.</w:t>
      </w:r>
    </w:p>
    <w:p>
      <w:pPr>
        <w:spacing w:after="120" w:before="120" w:line="360"/>
        <w:jc w:val="both"/>
      </w:pPr>
      <w:r>
        <w:rPr>
          <w:rFonts w:ascii="Georgia" w:cs="Georgia" w:eastAsia="Georgia" w:hAnsi="Georgia"/>
          <w:sz w:val="23"/>
          <w:szCs w:val="23"/>
        </w:rPr>
        <w:t xml:space="preserve">Conservative projections by independent fiscal analysts place North Carolina state-level cannabis tax revenue under a moderate excise tax structure between 350 million and 700 million dollars per year at maturity, with local revenue adding substantially to that total. The revenue would arrive at a time when the state faces structural fiscal pressure from declining federal pandemic-era funding and from underfunded core obligations including the Leandro remedy.</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state legalization of cannabis for adult use, with regulation comparable to alcohol — age restrictions, public consumption restrictions, product safety standards, and a state regulatory body with authority comparable to the Alcoholic Beverage Control system.</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a state excise tax structure on legal cannabis sufficient to generate substantial revenue for state priorities including education, mental health services, and substance abuse treatment, while remaining low enough that the legal market displaces the illegal market.</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automatic expungement of prior cannabis convictions for offenses that would not be crimes under legalization, with restoration of voting rights, employment eligibility, and access to state benefits where those have been lost as a consequence of prior convictions.</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local revenue sharing of cannabis tax receipts with municipalities and counties, particularly those communities most directly affected by prior enforcement disparities.</w:t>
      </w:r>
    </w:p>
    <w:p>
      <w:pPr>
        <w:spacing w:after="140" w:before="280"/>
      </w:pPr>
      <w:r>
        <w:rPr>
          <w:rFonts w:ascii="Arial" w:cs="Arial" w:eastAsia="Arial" w:hAnsi="Arial"/>
          <w:b/>
          <w:bCs/>
          <w:color w:val="1A1A2E"/>
          <w:sz w:val="24"/>
          <w:szCs w:val="24"/>
        </w:rPr>
        <w:t xml:space="preserve">Accountability — state-level audit and oversight reform</w:t>
      </w:r>
    </w:p>
    <w:p>
      <w:pPr>
        <w:spacing w:after="120" w:before="120" w:line="360"/>
        <w:jc w:val="both"/>
      </w:pPr>
      <w:r>
        <w:rPr>
          <w:rFonts w:ascii="Georgia" w:cs="Georgia" w:eastAsia="Georgia" w:hAnsi="Georgia"/>
          <w:sz w:val="23"/>
          <w:szCs w:val="23"/>
        </w:rPr>
        <w:t xml:space="preserve">The same structural argument that applies to federal spending applies to state spending. North Carolina taxpayers provide approximately 35 billion dollars per year in state revenue, and the disposition of that revenue is opaque to most North Carolina citizens.</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strengthened authority and resources for the North Carolina State Auditor's office to conduct comprehensive performance audits of state agencies and programs, with mandatory publication of findings.</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legislation requiring real-time public dashboards for state agency performance, including service delivery metrics, contracting transparency, and detailed budget execution data.</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investigation of state contracting practices in social services, childcare programs, and corrections, with the same accountability standards applied across all categories of state spending. Accountability is not partisan policy. It is the baseline expectation of any government that takes public funds.</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strengthened state authority to investigate corporate misconduct affecting North Carolina residents, including pharmaceutical pricing, predatory lending, and consumer fraud. State attorneys general have repeatedly produced consequential enforcement actions in areas where federal enforcement has been captured by industry.</w:t>
      </w:r>
    </w:p>
    <w:p>
      <w:pPr>
        <w:spacing w:after="140" w:before="280"/>
      </w:pPr>
      <w:r>
        <w:rPr>
          <w:rFonts w:ascii="Arial" w:cs="Arial" w:eastAsia="Arial" w:hAnsi="Arial"/>
          <w:b/>
          <w:bCs/>
          <w:color w:val="1A1A2E"/>
          <w:sz w:val="24"/>
          <w:szCs w:val="24"/>
        </w:rPr>
        <w:t xml:space="preserve">Democratic responsiveness — voting, redistricting, and civic transparency</w:t>
      </w:r>
    </w:p>
    <w:p>
      <w:pPr>
        <w:spacing w:after="120" w:before="120" w:line="360"/>
        <w:jc w:val="both"/>
      </w:pPr>
      <w:r>
        <w:rPr>
          <w:rFonts w:ascii="Georgia" w:cs="Georgia" w:eastAsia="Georgia" w:hAnsi="Georgia"/>
          <w:sz w:val="23"/>
          <w:szCs w:val="23"/>
        </w:rPr>
        <w:t xml:space="preserve">North Carolina has been at the center of national legal disputes over voting access and partisan gerrymandering for over a decade. The state courts have, at various points, found the legislative maps to be illegal partisan gerrymanders. The legislative response has been to draw new maps that continue the underlying pattern. The pattern is not consistent with the state's constitutional commitment to representative government.</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independent redistricting reform — the removal of redistricting from partisan legislative control and the establishment of an independent commission modeled on California, Michigan, or Colorado.</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universal automatic voter registration through state driver's license department interactions, with opt-out rather than opt-in defaults.</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expanded early voting, mail-in voting, and same-day registration. The states that have implemented these reforms have documented increased participation without documented increases in fraud.</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state-level legislation prohibiting state legislators and senior staff from holding or trading individual stocks during their time in office. State-level conflicts of interest are documented and substantial.</w:t>
      </w:r>
    </w:p>
    <w:p>
      <w:pPr>
        <w:spacing w:after="140" w:before="280"/>
      </w:pPr>
      <w:r>
        <w:rPr>
          <w:rFonts w:ascii="Arial" w:cs="Arial" w:eastAsia="Arial" w:hAnsi="Arial"/>
          <w:b/>
          <w:bCs/>
          <w:color w:val="1A1A2E"/>
          <w:sz w:val="24"/>
          <w:szCs w:val="24"/>
        </w:rPr>
        <w:t xml:space="preserve">Criminal justice reform at the state level</w:t>
      </w:r>
    </w:p>
    <w:p>
      <w:pPr>
        <w:spacing w:after="120" w:before="120" w:line="360"/>
        <w:jc w:val="both"/>
      </w:pPr>
      <w:r>
        <w:rPr>
          <w:rFonts w:ascii="Georgia" w:cs="Georgia" w:eastAsia="Georgia" w:hAnsi="Georgia"/>
          <w:sz w:val="23"/>
          <w:szCs w:val="23"/>
        </w:rPr>
        <w:t xml:space="preserve">North Carolina state prisons hold approximately 31,000 incarcerated individuals at a cost exceeding 1.6 billion dollars per year. A substantial percentage of those incarcerated are held for non-violent offenses, including cannabis offenses that would be legal under reforms many other states have already adopted.</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sentencing reform for non-violent offenses, particularly cannabis-related offenses, with retroactive application and release of currently incarcerated individuals whose offenses would not be crimes under contemporary legal frameworks.</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bail reform to address the pretrial detention of individuals who pose no flight risk and no danger to the community but cannot afford bail.</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mandatory body cameras for state and local law enforcement with strict chain-of-custody requirements and meaningful penalties for tampering or for refusal to release footage in cases of officer-involved injury or death.</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transparency in police misconduct records, including the publication of sustained disciplinary histories and the names of officers with multiple sustained findings of serious misconduct.</w:t>
      </w:r>
    </w:p>
    <w:p>
      <w:pPr>
        <w:spacing w:after="140" w:before="280"/>
      </w:pPr>
      <w:r>
        <w:rPr>
          <w:rFonts w:ascii="Arial" w:cs="Arial" w:eastAsia="Arial" w:hAnsi="Arial"/>
          <w:b/>
          <w:bCs/>
          <w:color w:val="1A1A2E"/>
          <w:sz w:val="24"/>
          <w:szCs w:val="24"/>
        </w:rPr>
        <w:t xml:space="preserve">How I will use your response</w:t>
      </w:r>
    </w:p>
    <w:p>
      <w:pPr>
        <w:spacing w:after="120" w:before="120" w:line="360"/>
        <w:jc w:val="both"/>
      </w:pPr>
      <w:r>
        <w:rPr>
          <w:rFonts w:ascii="Georgia" w:cs="Georgia" w:eastAsia="Georgia" w:hAnsi="Georgia"/>
          <w:sz w:val="23"/>
          <w:szCs w:val="23"/>
        </w:rPr>
        <w:t xml:space="preserve">I am an independent journalist. I publish at structuralhumanism.com. I will be publishing substantive responses to this letter, and I will be publishing the names of officials who provide only form letters or no response at all. This is not a threat. It is the journalistic function as it is meant to operate — the documentation of how elected officials respond to constituent communication on substantive policy questions.</w:t>
      </w:r>
    </w:p>
    <w:p>
      <w:pPr>
        <w:spacing w:after="120" w:before="120" w:line="360"/>
        <w:jc w:val="both"/>
      </w:pPr>
      <w:r>
        <w:rPr>
          <w:rFonts w:ascii="Georgia" w:cs="Georgia" w:eastAsia="Georgia" w:hAnsi="Georgia"/>
          <w:sz w:val="23"/>
          <w:szCs w:val="23"/>
        </w:rPr>
        <w:t xml:space="preserve">I am asking you for a substantive reply. I hope you, or your staff on your behalf, will respond with substance. I hope you will not become part of the documented record of officials whose inaction on these questions has contributed to the current condition of the state and the country. North Carolinians, like other Americans, are experiencing the lowest measured quality of life on multiple indicators in decades. The condition is not natural. It is the product of choices made by specific people, including elected officials, over years and decades. Different choices are available. I am asking you to make them.</w:t>
      </w:r>
    </w:p>
    <w:p>
      <w:pPr>
        <w:spacing w:after="120" w:before="120" w:line="360"/>
        <w:jc w:val="both"/>
      </w:pPr>
      <w:r>
        <w:rPr>
          <w:rFonts w:ascii="Georgia" w:cs="Georgia" w:eastAsia="Georgia" w:hAnsi="Georgia"/>
          <w:sz w:val="23"/>
          <w:szCs w:val="23"/>
        </w:rPr>
        <w:t xml:space="preserve">I will be writing again. I will be paying attention. I will be voting accordingly. I will be telling other North Carolina residents what I find in your record. I would rather work with you toward these reforms than document your refusal to act on them. The choice between those outcomes is yours.</w:t>
      </w:r>
    </w:p>
    <w:p>
      <w:pPr>
        <w:spacing w:after="120" w:before="120" w:line="360"/>
        <w:jc w:val="both"/>
      </w:pPr>
      <w:r>
        <w:rPr>
          <w:rFonts w:ascii="Georgia" w:cs="Georgia" w:eastAsia="Georgia" w:hAnsi="Georgia"/>
          <w:sz w:val="23"/>
          <w:szCs w:val="23"/>
        </w:rPr>
        <w:t xml:space="preserve">Complacency is not neutrality. The failure to perform civic duty when the duty is clear is itself a contribution to the harm. I refuse to be complacent. I am asking you the same.</w:t>
      </w:r>
    </w:p>
    <w:p>
      <w:pPr>
        <w:spacing w:after="120" w:before="120" w:line="360"/>
        <w:jc w:val="both"/>
      </w:pPr>
      <w:r>
        <w:rPr>
          <w:rFonts w:ascii="Georgia" w:cs="Georgia" w:eastAsia="Georgia" w:hAnsi="Georgia"/>
          <w:sz w:val="23"/>
          <w:szCs w:val="23"/>
        </w:rPr>
        <w:t xml:space="preserve">Thank you for your time.</w:t>
      </w:r>
    </w:p>
    <w:p>
      <w:pPr>
        <w:spacing w:after="0" w:before="200"/>
      </w:pPr>
      <w:r>
        <w:t xml:space="preserve"/>
      </w:r>
    </w:p>
    <w:p>
      <w:pPr>
        <w:spacing w:after="120" w:before="120" w:line="360"/>
        <w:jc w:val="both"/>
      </w:pPr>
      <w:r>
        <w:rPr>
          <w:rFonts w:ascii="Georgia" w:cs="Georgia" w:eastAsia="Georgia" w:hAnsi="Georgia"/>
          <w:sz w:val="23"/>
          <w:szCs w:val="23"/>
        </w:rPr>
        <w:t xml:space="preserve">Respectfully,</w:t>
      </w:r>
    </w:p>
    <w:p>
      <w:pPr>
        <w:spacing w:after="0" w:before="600"/>
      </w:pPr>
      <w:r>
        <w:t xml:space="preserve"/>
      </w:r>
    </w:p>
    <w:p>
      <w:pPr>
        <w:spacing w:after="80" w:before="80"/>
      </w:pPr>
      <w:r>
        <w:rPr>
          <w:rFonts w:ascii="Georgia" w:cs="Georgia" w:eastAsia="Georgia" w:hAnsi="Georgia"/>
          <w:sz w:val="23"/>
          <w:szCs w:val="23"/>
        </w:rPr>
        <w:t xml:space="preserve">Kai Jashon Price</w:t>
      </w:r>
    </w:p>
    <w:p>
      <w:pPr>
        <w:spacing w:after="80" w:before="80"/>
      </w:pPr>
      <w:r>
        <w:rPr>
          <w:rFonts w:ascii="Georgia" w:cs="Georgia" w:eastAsia="Georgia" w:hAnsi="Georgia"/>
          <w:sz w:val="23"/>
          <w:szCs w:val="23"/>
        </w:rPr>
        <w:t xml:space="preserve">Independent Journalist</w:t>
      </w:r>
    </w:p>
    <w:p>
      <w:pPr>
        <w:spacing w:after="80" w:before="80"/>
      </w:pPr>
      <w:r>
        <w:rPr>
          <w:rFonts w:ascii="Georgia" w:cs="Georgia" w:eastAsia="Georgia" w:hAnsi="Georgia"/>
          <w:sz w:val="23"/>
          <w:szCs w:val="23"/>
        </w:rPr>
        <w:t xml:space="preserve">https://structuralhumanism.com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2026-05-22T23:39:36.321Z</dcterms:created>
  <dcterms:modified xsi:type="dcterms:W3CDTF">2026-05-22T23:39:36.321Z</dcterms:modified>
</cp:coreProperties>
</file>

<file path=docProps/custom.xml><?xml version="1.0" encoding="utf-8"?>
<Properties xmlns="http://schemas.openxmlformats.org/officeDocument/2006/custom-properties" xmlns:vt="http://schemas.openxmlformats.org/officeDocument/2006/docPropsVTypes"/>
</file>