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Georgia" w:cs="Georgia" w:eastAsia="Georgia" w:hAnsi="Georgia"/>
          <w:sz w:val="23"/>
          <w:szCs w:val="23"/>
        </w:rPr>
        <w:t xml:space="preserve">Kai Jashon Price</w:t>
      </w:r>
    </w:p>
    <w:p>
      <w:pPr>
        <w:spacing w:after="80" w:before="80"/>
      </w:pPr>
      <w:r>
        <w:rPr>
          <w:rFonts w:ascii="Georgia" w:cs="Georgia" w:eastAsia="Georgia" w:hAnsi="Georgia"/>
          <w:sz w:val="23"/>
          <w:szCs w:val="23"/>
        </w:rPr>
        <w:t xml:space="preserve">Jacksonville, North Carolina</w:t>
      </w:r>
    </w:p>
    <w:p>
      <w:pPr>
        <w:spacing w:after="80" w:before="80"/>
      </w:pPr>
      <w:r>
        <w:rPr>
          <w:rFonts w:ascii="Georgia" w:cs="Georgia" w:eastAsia="Georgia" w:hAnsi="Georgia"/>
          <w:sz w:val="23"/>
          <w:szCs w:val="23"/>
        </w:rPr>
        <w:t xml:space="preserve">Independent Party  /  Independent Journalist</w:t>
      </w:r>
    </w:p>
    <w:p>
      <w:pPr>
        <w:spacing w:after="80" w:before="80"/>
      </w:pPr>
      <w:r>
        <w:rPr>
          <w:rFonts w:ascii="Georgia" w:cs="Georgia" w:eastAsia="Georgia" w:hAnsi="Georgia"/>
          <w:sz w:val="23"/>
          <w:szCs w:val="23"/>
        </w:rPr>
        <w:t xml:space="preserve">https://structuralhumanism.com</w:t>
      </w:r>
    </w:p>
    <w:p>
      <w:pPr>
        <w:spacing w:after="0" w:before="200"/>
      </w:pPr>
      <w:r>
        <w:t xml:space="preserve"/>
      </w:r>
    </w:p>
    <w:p>
      <w:pPr>
        <w:spacing w:after="80" w:before="80"/>
      </w:pPr>
      <w:r>
        <w:rPr>
          <w:rFonts w:ascii="Georgia" w:cs="Georgia" w:eastAsia="Georgia" w:hAnsi="Georgia"/>
          <w:b/>
          <w:bCs/>
          <w:color w:val="B00000"/>
          <w:sz w:val="23"/>
          <w:szCs w:val="23"/>
          <w:highlight w:val="yellow"/>
          <w:highlightCs w:val="yellow"/>
        </w:rPr>
        <w:t xml:space="preserve">[INSERT DATE]</w:t>
      </w:r>
    </w:p>
    <w:p>
      <w:pPr>
        <w:spacing w:after="0" w:before="200"/>
      </w:pPr>
      <w:r>
        <w:t xml:space="preserve"/>
      </w:r>
    </w:p>
    <w:p>
      <w:pPr>
        <w:spacing w:after="80" w:before="80"/>
      </w:pPr>
      <w:r>
        <w:rPr>
          <w:rFonts w:ascii="Georgia" w:cs="Georgia" w:eastAsia="Georgia" w:hAnsi="Georgia"/>
          <w:b/>
          <w:bCs/>
          <w:color w:val="B00000"/>
          <w:sz w:val="23"/>
          <w:szCs w:val="23"/>
          <w:highlight w:val="yellow"/>
          <w:highlightCs w:val="yellow"/>
        </w:rPr>
        <w:t xml:space="preserve">[INSERT RECIPIENT NAME]</w:t>
      </w:r>
    </w:p>
    <w:p>
      <w:pPr>
        <w:spacing w:after="80" w:before="80"/>
      </w:pPr>
      <w:r>
        <w:rPr>
          <w:rFonts w:ascii="Georgia" w:cs="Georgia" w:eastAsia="Georgia" w:hAnsi="Georgia"/>
          <w:b/>
          <w:bCs/>
          <w:color w:val="B00000"/>
          <w:sz w:val="23"/>
          <w:szCs w:val="23"/>
          <w:highlight w:val="yellow"/>
          <w:highlightCs w:val="yellow"/>
        </w:rPr>
        <w:t xml:space="preserve">[INSERT OFFICIAL TITLE — e.g., Mayor of Jacksonville, City Council Member, Onslow County Commissioner, School Board Member, Onslow County Sheriff]</w:t>
      </w:r>
    </w:p>
    <w:p>
      <w:pPr>
        <w:spacing w:after="80" w:before="80"/>
      </w:pPr>
      <w:r>
        <w:rPr>
          <w:rFonts w:ascii="Georgia" w:cs="Georgia" w:eastAsia="Georgia" w:hAnsi="Georgia"/>
          <w:b/>
          <w:bCs/>
          <w:color w:val="B00000"/>
          <w:sz w:val="23"/>
          <w:szCs w:val="23"/>
          <w:highlight w:val="yellow"/>
          <w:highlightCs w:val="yellow"/>
        </w:rPr>
        <w:t xml:space="preserve">[INSERT OFFICE ADDRESS]</w:t>
      </w:r>
    </w:p>
    <w:p>
      <w:pPr>
        <w:spacing w:after="0" w:before="200"/>
      </w:pPr>
      <w:r>
        <w:t xml:space="preserve"/>
      </w:r>
    </w:p>
    <w:p>
      <w:pPr>
        <w:spacing w:after="120" w:before="0" w:line="360"/>
        <w:jc w:val="both"/>
      </w:pPr>
      <w:r>
        <w:rPr>
          <w:rFonts w:ascii="Georgia" w:cs="Georgia" w:eastAsia="Georgia" w:hAnsi="Georgia"/>
          <w:sz w:val="23"/>
          <w:szCs w:val="23"/>
        </w:rPr>
        <w:t xml:space="preserve">Dear </w:t>
      </w:r>
      <w:r>
        <w:rPr>
          <w:rFonts w:ascii="Georgia" w:cs="Georgia" w:eastAsia="Georgia" w:hAnsi="Georgia"/>
          <w:b/>
          <w:bCs/>
          <w:color w:val="B00000"/>
          <w:sz w:val="23"/>
          <w:szCs w:val="23"/>
          <w:highlight w:val="yellow"/>
          <w:highlightCs w:val="yellow"/>
        </w:rPr>
        <w:t xml:space="preserve">[Mayor / Council Member / Commissioner / Sheriff / Board Member] [Last Name]</w:t>
      </w:r>
      <w:r>
        <w:rPr>
          <w:rFonts w:ascii="Georgia" w:cs="Georgia" w:eastAsia="Georgia" w:hAnsi="Georgia"/>
          <w:sz w:val="23"/>
          <w:szCs w:val="23"/>
        </w:rPr>
        <w:t xml:space="preserve">:</w:t>
      </w:r>
    </w:p>
    <w:p>
      <w:pPr>
        <w:spacing w:after="120" w:before="120" w:line="360"/>
        <w:jc w:val="both"/>
      </w:pPr>
      <w:r>
        <w:rPr>
          <w:rFonts w:ascii="Georgia" w:cs="Georgia" w:eastAsia="Georgia" w:hAnsi="Georgia"/>
          <w:sz w:val="23"/>
          <w:szCs w:val="23"/>
        </w:rPr>
        <w:t xml:space="preserve">I am a resident of Jacksonville, North Carolina writing as a citizen, an independent journalist, and a voter. I am writing because the local level is the level of government most directly accountable to the people who live under it, and because it is the level at which the cynicism that defines so much of contemporary American political life is least justified. Federal politics is paralyzed in well-documented ways. Local politics, by contrast, is a level at which a single committed official can move policy that affects thousands of lives within a single budget cycle. I am writing to ask you to use that capacity.</w:t>
      </w:r>
    </w:p>
    <w:p>
      <w:pPr>
        <w:spacing w:after="120" w:before="120" w:line="360"/>
        <w:jc w:val="both"/>
      </w:pPr>
      <w:r>
        <w:rPr>
          <w:rFonts w:ascii="Georgia" w:cs="Georgia" w:eastAsia="Georgia" w:hAnsi="Georgia"/>
          <w:sz w:val="23"/>
          <w:szCs w:val="23"/>
        </w:rPr>
        <w:t xml:space="preserve">My foundational concern is the documented structural condition of American government. The 2014 peer-reviewed study by political scientists Martin Gilens and Benjamin Page found that the preferences of average American citizens have a near-zero impact on federal policy outcomes, while the preferences of economic elites strongly predict policy. The local level remains the place where ordinary citizen organizing still works, because the political coalitions are smaller and the leverage of individual participation is higher. That is why local action matters disproportionately, and why what you do as a local official is one of the few remaining places where democratic responsiveness actually operates.</w:t>
      </w:r>
    </w:p>
    <w:p>
      <w:pPr>
        <w:spacing w:after="120" w:before="120" w:line="360"/>
        <w:jc w:val="both"/>
      </w:pPr>
      <w:r>
        <w:rPr>
          <w:rFonts w:ascii="Georgia" w:cs="Georgia" w:eastAsia="Georgia" w:hAnsi="Georgia"/>
          <w:sz w:val="23"/>
          <w:szCs w:val="23"/>
        </w:rPr>
        <w:t xml:space="preserve">What follows is a list of specific local actions I am asking you to take. Each falls within your authority. Each is supported by documented evidence from other localities that have implemented similar reforms. Each is achievable within current budget cycles. The question is whether you will act on what you can act on, or whether your tenure will be one in which the achievable was left undone.</w:t>
      </w:r>
    </w:p>
    <w:p>
      <w:pPr>
        <w:spacing w:after="140" w:before="280"/>
      </w:pPr>
      <w:r>
        <w:rPr>
          <w:rFonts w:ascii="Arial" w:cs="Arial" w:eastAsia="Arial" w:hAnsi="Arial"/>
          <w:b/>
          <w:bCs/>
          <w:color w:val="1A1A2E"/>
          <w:sz w:val="24"/>
          <w:szCs w:val="24"/>
        </w:rPr>
        <w:t xml:space="preserve">Healthcare access at the local level</w:t>
      </w:r>
    </w:p>
    <w:p>
      <w:pPr>
        <w:spacing w:after="120" w:before="120" w:line="360"/>
        <w:jc w:val="both"/>
      </w:pPr>
      <w:r>
        <w:rPr>
          <w:rFonts w:ascii="Georgia" w:cs="Georgia" w:eastAsia="Georgia" w:hAnsi="Georgia"/>
          <w:sz w:val="23"/>
          <w:szCs w:val="23"/>
        </w:rPr>
        <w:t xml:space="preserve">Healthcare is shaped at the federal and state levels but is delivered locally. Local government has authority over public health infrastructure, emergency medical services, and the public health response to the substance use crisis. Onslow County, like much of eastern North Carolina, has documented gaps in healthcare access that local action can address.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increased local investment in mental health crisis response, including civilian crisis response teams modeled on the Eugene, Oregon CAHOOTS program, which has operated successfully for over thirty years and produces documented outcomes substantially better than police-led mental health calls at lower cost.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public health investment in harm reduction infrastructure, including naloxone distribution, fentanyl test strip availability, and access to medication-assisted treatment for opioid use disorder.</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cooperation with rural healthcare preservation efforts, including coordination with state and federal funding streams aimed at maintaining hospital and clinic access in underserved areas.</w:t>
      </w:r>
    </w:p>
    <w:p>
      <w:pPr>
        <w:spacing w:after="140" w:before="280"/>
      </w:pPr>
      <w:r>
        <w:rPr>
          <w:rFonts w:ascii="Arial" w:cs="Arial" w:eastAsia="Arial" w:hAnsi="Arial"/>
          <w:b/>
          <w:bCs/>
          <w:color w:val="1A1A2E"/>
          <w:sz w:val="24"/>
          <w:szCs w:val="24"/>
        </w:rPr>
        <w:t xml:space="preserve">Education — local school board action</w:t>
      </w:r>
    </w:p>
    <w:p>
      <w:pPr>
        <w:spacing w:after="120" w:before="120" w:line="360"/>
        <w:jc w:val="both"/>
      </w:pPr>
      <w:r>
        <w:rPr>
          <w:rFonts w:ascii="Georgia" w:cs="Georgia" w:eastAsia="Georgia" w:hAnsi="Georgia"/>
          <w:sz w:val="23"/>
          <w:szCs w:val="23"/>
        </w:rPr>
        <w:t xml:space="preserve">Local school boards control hiring, curriculum implementation, building maintenance, and the daily conditions in which children are educated. The actions of a school board affect more children's lives more directly than almost any other category of local government action.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full implementation of the Leandro remedy plan to the extent local action is required, including teacher recruitment and retention initiatives within local authority.</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curriculum standards that include accurate accounts of American historical events — the documented record of slavery and Jim Crow, of indigenous displacement, of labor history, of the civil rights movement, of the documented government conduct in events such as those examined by the Church Committee. Whatever this curriculum is called, it is the curriculum that produces citizens who understand the country they live in.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investment in school infrastructure, including building maintenance, technology access, and after-school programs that serve the working families of this county.</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transparency in school board operations, including published voting records, real-time meeting minutes, accessible public comment periods, and plain-language summaries of substantive proposals before votes are taken.</w:t>
      </w:r>
    </w:p>
    <w:p>
      <w:pPr>
        <w:spacing w:after="140" w:before="280"/>
      </w:pPr>
      <w:r>
        <w:rPr>
          <w:rFonts w:ascii="Arial" w:cs="Arial" w:eastAsia="Arial" w:hAnsi="Arial"/>
          <w:b/>
          <w:bCs/>
          <w:color w:val="1A1A2E"/>
          <w:sz w:val="24"/>
          <w:szCs w:val="24"/>
        </w:rPr>
        <w:t xml:space="preserve">Cannabis policy at the local level</w:t>
      </w:r>
    </w:p>
    <w:p>
      <w:pPr>
        <w:spacing w:after="120" w:before="120" w:line="360"/>
        <w:jc w:val="both"/>
      </w:pPr>
      <w:r>
        <w:rPr>
          <w:rFonts w:ascii="Georgia" w:cs="Georgia" w:eastAsia="Georgia" w:hAnsi="Georgia"/>
          <w:sz w:val="23"/>
          <w:szCs w:val="23"/>
        </w:rPr>
        <w:t xml:space="preserve">The state of North Carolina maintains full prohibition of cannabis for both medical and adult use. Local jurisdictions, even within prohibition, have meaningful discretion over enforcement priorities and over the use of local law enforcement resources. The deployment of local police officers to enforce cannabis possession laws is a local decision that affects local lives, particularly the lives of younger residents and residents of color who are arrested at disproportionate rates for offenses that produce no victim.</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resolutions deprioritizing cannabis possession enforcement as a use of local law enforcement resources, where state law permits such discretion.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advocacy for state cannabis reform, including direct communication with state legislators representing this district about the economic and justice case for adult-use legalization.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preparation for the eventual state legalization that is likely to occur within the next decade — preparation including local zoning consideration, local revenue planning, and identification of local public health and economic development priorities that future cannabis tax revenue could address.</w:t>
      </w:r>
    </w:p>
    <w:p>
      <w:pPr>
        <w:spacing w:after="140" w:before="280"/>
      </w:pPr>
      <w:r>
        <w:rPr>
          <w:rFonts w:ascii="Arial" w:cs="Arial" w:eastAsia="Arial" w:hAnsi="Arial"/>
          <w:b/>
          <w:bCs/>
          <w:color w:val="1A1A2E"/>
          <w:sz w:val="24"/>
          <w:szCs w:val="24"/>
        </w:rPr>
        <w:t xml:space="preserve">Accountability — local government transparency</w:t>
      </w:r>
    </w:p>
    <w:p>
      <w:pPr>
        <w:spacing w:after="120" w:before="120" w:line="360"/>
        <w:jc w:val="both"/>
      </w:pPr>
      <w:r>
        <w:rPr>
          <w:rFonts w:ascii="Georgia" w:cs="Georgia" w:eastAsia="Georgia" w:hAnsi="Georgia"/>
          <w:sz w:val="23"/>
          <w:szCs w:val="23"/>
        </w:rPr>
        <w:t xml:space="preserve">Local government in this county operates with substantially less public scrutiny than state or federal government, which paradoxically gives it greater opportunity for accountability if the local officials choose to provide it. The infrastructure for transparent local government is technologically simple and politically resisted only because the resistance is in the interest of incumbents.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real-time public dashboards for local government — published voting records, attendance, contracting transparency, lobbyist meeting disclosures, and budget execution data accessible to ordinary residents without specialized software or training.</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public comment processes that genuinely accommodate working-class residents, including evening and weekend meetings, remote participation options, and child care during meetings. Most local public comment periods are scheduled at times that systematically exclude the residents most affected by the decisions being made.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investigation and reform of local contracting practices, particularly in social services, childcare programs, and corrections, where state and federal funds flow through local entities and oversight is weakest.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law enforcement transparency, including the publication of complaint and sustained-discipline records, mandatory body cameras with strict chain-of-custody, and meaningful civilian oversight authority over the local police department and county sheriff's office.</w:t>
      </w:r>
    </w:p>
    <w:p>
      <w:pPr>
        <w:spacing w:after="140" w:before="280"/>
      </w:pPr>
      <w:r>
        <w:rPr>
          <w:rFonts w:ascii="Arial" w:cs="Arial" w:eastAsia="Arial" w:hAnsi="Arial"/>
          <w:b/>
          <w:bCs/>
          <w:color w:val="1A1A2E"/>
          <w:sz w:val="24"/>
          <w:szCs w:val="24"/>
        </w:rPr>
        <w:t xml:space="preserve">Housing and economic development at the local level</w:t>
      </w:r>
    </w:p>
    <w:p>
      <w:pPr>
        <w:spacing w:after="120" w:before="120" w:line="360"/>
        <w:jc w:val="both"/>
      </w:pPr>
      <w:r>
        <w:rPr>
          <w:rFonts w:ascii="Georgia" w:cs="Georgia" w:eastAsia="Georgia" w:hAnsi="Georgia"/>
          <w:sz w:val="23"/>
          <w:szCs w:val="23"/>
        </w:rPr>
        <w:t xml:space="preserve">The housing crisis is the single most pressing material issue in most American communities and is substantially solvable at the municipal level. Onslow County's position adjacent to Marine Corps Base Camp Lejeune creates specific local housing market dynamics that require specific local policy responses.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zoning reform to permit a wider range of housing types, including multifamily housing and accessory dwelling units, in residential areas currently restricted to single-family detached homes.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Housing First approaches to chronic homelessness modeled on Houston, which has produced documented reductions substantially exceeding what other major American cities have achieved with substantially more expensive emergency response approaches.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tenant protections appropriate to the local rental market, including reasonable notice requirements for rent increases and just-cause eviction protections for long-term tenants.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economic development planning that prioritizes the material conditions of working residents — wages, hours, childcare access, transportation — over the convenience of large outside employers who extract value without reinvesting it locally.</w:t>
      </w:r>
    </w:p>
    <w:p>
      <w:pPr>
        <w:spacing w:after="140" w:before="280"/>
      </w:pPr>
      <w:r>
        <w:rPr>
          <w:rFonts w:ascii="Arial" w:cs="Arial" w:eastAsia="Arial" w:hAnsi="Arial"/>
          <w:b/>
          <w:bCs/>
          <w:color w:val="1A1A2E"/>
          <w:sz w:val="24"/>
          <w:szCs w:val="24"/>
        </w:rPr>
        <w:t xml:space="preserve">Local participation in civic life</w:t>
      </w:r>
    </w:p>
    <w:p>
      <w:pPr>
        <w:spacing w:after="120" w:before="120" w:line="360"/>
        <w:jc w:val="both"/>
      </w:pPr>
      <w:r>
        <w:rPr>
          <w:rFonts w:ascii="Georgia" w:cs="Georgia" w:eastAsia="Georgia" w:hAnsi="Georgia"/>
          <w:sz w:val="23"/>
          <w:szCs w:val="23"/>
        </w:rPr>
        <w:t xml:space="preserve">The structural humanist position is that the most consequential level of American democracy is the level closest to the people, and that the recovery of democratic responsiveness must begin at this level. Local government is the laboratory of self-government. What is built here can be modeled elsewhere. What is allowed to fail here makes failure elsewhere more likely.</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civic education programs that meet ordinary residents where they are — programs that explain how local government operates, how budget decisions are made, how to participate in public comment, how to file public records requests under North Carolina's public records law.</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cooperation with civic organizations, libraries, and community institutions that are doing the work of building the civic infrastructure this community needs.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local commitment to publishing the documents of governance in formats accessible to ordinary residents, not only in formats accessible to lawyers, lobbyists, and trade press.</w:t>
      </w:r>
    </w:p>
    <w:p>
      <w:pPr>
        <w:spacing w:after="140" w:before="280"/>
      </w:pPr>
      <w:r>
        <w:rPr>
          <w:rFonts w:ascii="Arial" w:cs="Arial" w:eastAsia="Arial" w:hAnsi="Arial"/>
          <w:b/>
          <w:bCs/>
          <w:color w:val="1A1A2E"/>
          <w:sz w:val="24"/>
          <w:szCs w:val="24"/>
        </w:rPr>
        <w:t xml:space="preserve">How I will use your response</w:t>
      </w:r>
    </w:p>
    <w:p>
      <w:pPr>
        <w:spacing w:after="120" w:before="120" w:line="360"/>
        <w:jc w:val="both"/>
      </w:pPr>
      <w:r>
        <w:rPr>
          <w:rFonts w:ascii="Georgia" w:cs="Georgia" w:eastAsia="Georgia" w:hAnsi="Georgia"/>
          <w:sz w:val="23"/>
          <w:szCs w:val="23"/>
        </w:rPr>
        <w:t xml:space="preserve">I am an independent journalist. I publish at structuralhumanism.com. I will be publishing substantive responses to this letter, and I will be publishing the names of officials who provide only form letters or no response at all. This is not a threat. It is the basic exercise of the journalistic function — the documentation of how local officials respond to constituent communication on substantive local questions.</w:t>
      </w:r>
    </w:p>
    <w:p>
      <w:pPr>
        <w:spacing w:after="120" w:before="120" w:line="360"/>
        <w:jc w:val="both"/>
      </w:pPr>
      <w:r>
        <w:rPr>
          <w:rFonts w:ascii="Georgia" w:cs="Georgia" w:eastAsia="Georgia" w:hAnsi="Georgia"/>
          <w:sz w:val="23"/>
          <w:szCs w:val="23"/>
        </w:rPr>
        <w:t xml:space="preserve">I am asking you for a substantive reply. I hope that you, or your staff on your behalf, will respond with substance. I hope you will not become part of the documented record of officials whose inaction on local questions has contributed to the conditions of life in this community. The residents of Onslow County, like other Americans, are experiencing the lowest measured quality of life on multiple indicators in decades. The condition is not natural. It is the product of choices made by specific people, including local officials, over years and decades. Different choices are available, and many of them are available specifically to you at the local level where federal paralysis does not bind your hands.</w:t>
      </w:r>
    </w:p>
    <w:p>
      <w:pPr>
        <w:spacing w:after="120" w:before="120" w:line="360"/>
        <w:jc w:val="both"/>
      </w:pPr>
      <w:r>
        <w:rPr>
          <w:rFonts w:ascii="Georgia" w:cs="Georgia" w:eastAsia="Georgia" w:hAnsi="Georgia"/>
          <w:sz w:val="23"/>
          <w:szCs w:val="23"/>
        </w:rPr>
        <w:t xml:space="preserve">I will be writing again. I will be paying attention. I will be attending local meetings. I will be telling other Onslow County residents what I find in your record. I would rather work with you toward these reforms than document your refusal to act on them. The choice between those outcomes is yours.</w:t>
      </w:r>
    </w:p>
    <w:p>
      <w:pPr>
        <w:spacing w:after="120" w:before="120" w:line="360"/>
        <w:jc w:val="both"/>
      </w:pPr>
      <w:r>
        <w:rPr>
          <w:rFonts w:ascii="Georgia" w:cs="Georgia" w:eastAsia="Georgia" w:hAnsi="Georgia"/>
          <w:sz w:val="23"/>
          <w:szCs w:val="23"/>
        </w:rPr>
        <w:t xml:space="preserve">Complacency is not neutrality. The failure to perform civic duty when the duty is clear is itself a contribution to the harm. I refuse to be complacent. I am asking you the same.</w:t>
      </w:r>
    </w:p>
    <w:p>
      <w:pPr>
        <w:spacing w:after="120" w:before="120" w:line="360"/>
        <w:jc w:val="both"/>
      </w:pPr>
      <w:r>
        <w:rPr>
          <w:rFonts w:ascii="Georgia" w:cs="Georgia" w:eastAsia="Georgia" w:hAnsi="Georgia"/>
          <w:sz w:val="23"/>
          <w:szCs w:val="23"/>
        </w:rPr>
        <w:t xml:space="preserve">Thank you for your time.</w:t>
      </w:r>
    </w:p>
    <w:p>
      <w:pPr>
        <w:spacing w:after="0" w:before="200"/>
      </w:pPr>
      <w:r>
        <w:t xml:space="preserve"/>
      </w:r>
    </w:p>
    <w:p>
      <w:pPr>
        <w:spacing w:after="120" w:before="120" w:line="360"/>
        <w:jc w:val="both"/>
      </w:pPr>
      <w:r>
        <w:rPr>
          <w:rFonts w:ascii="Georgia" w:cs="Georgia" w:eastAsia="Georgia" w:hAnsi="Georgia"/>
          <w:sz w:val="23"/>
          <w:szCs w:val="23"/>
        </w:rPr>
        <w:t xml:space="preserve">Respectfully,</w:t>
      </w:r>
    </w:p>
    <w:p>
      <w:pPr>
        <w:spacing w:after="0" w:before="600"/>
      </w:pPr>
      <w:r>
        <w:t xml:space="preserve"/>
      </w:r>
    </w:p>
    <w:p>
      <w:pPr>
        <w:spacing w:after="80" w:before="80"/>
      </w:pPr>
      <w:r>
        <w:rPr>
          <w:rFonts w:ascii="Georgia" w:cs="Georgia" w:eastAsia="Georgia" w:hAnsi="Georgia"/>
          <w:sz w:val="23"/>
          <w:szCs w:val="23"/>
        </w:rPr>
        <w:t xml:space="preserve">Kai Jashon Price</w:t>
      </w:r>
    </w:p>
    <w:p>
      <w:pPr>
        <w:spacing w:after="80" w:before="80"/>
      </w:pPr>
      <w:r>
        <w:rPr>
          <w:rFonts w:ascii="Georgia" w:cs="Georgia" w:eastAsia="Georgia" w:hAnsi="Georgia"/>
          <w:sz w:val="23"/>
          <w:szCs w:val="23"/>
        </w:rPr>
        <w:t xml:space="preserve">Independent Journalist</w:t>
      </w:r>
    </w:p>
    <w:p>
      <w:pPr>
        <w:spacing w:after="80" w:before="80"/>
      </w:pPr>
      <w:r>
        <w:rPr>
          <w:rFonts w:ascii="Georgia" w:cs="Georgia" w:eastAsia="Georgia" w:hAnsi="Georgia"/>
          <w:sz w:val="23"/>
          <w:szCs w:val="23"/>
        </w:rPr>
        <w:t xml:space="preserve">https://structuralhumanism.com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2026-05-22T23:40:43.841Z</dcterms:created>
  <dcterms:modified xsi:type="dcterms:W3CDTF">2026-05-22T23:40:43.841Z</dcterms:modified>
</cp:coreProperties>
</file>

<file path=docProps/custom.xml><?xml version="1.0" encoding="utf-8"?>
<Properties xmlns="http://schemas.openxmlformats.org/officeDocument/2006/custom-properties" xmlns:vt="http://schemas.openxmlformats.org/officeDocument/2006/docPropsVTypes"/>
</file>