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Arial" w:cs="Arial" w:eastAsia="Arial" w:hAnsi="Arial"/>
          <w:b/>
          <w:bCs/>
          <w:color w:val="0D0D0D"/>
          <w:sz w:val="52"/>
          <w:szCs w:val="52"/>
        </w:rPr>
        <w:t xml:space="preserve">RECLAIMING DEMOCRATIC SOVEREIGNTY</w:t>
      </w:r>
    </w:p>
    <w:p>
      <w:pPr>
        <w:spacing w:after="200" w:before="0"/>
        <w:jc w:val="center"/>
      </w:pPr>
      <w:r>
        <w:rPr>
          <w:rFonts w:ascii="Arial" w:cs="Arial" w:eastAsia="Arial" w:hAnsi="Arial"/>
          <w:i/>
          <w:iCs/>
          <w:color w:val="444444"/>
          <w:sz w:val="26"/>
          <w:szCs w:val="26"/>
        </w:rPr>
        <w:t xml:space="preserve">Specific Structural Reforms to Close the Gap Between Democracy's Promise and Its Reality</w:t>
      </w:r>
    </w:p>
    <w:p>
      <w:pPr>
        <w:spacing w:after="100" w:before="200"/>
        <w:jc w:val="center"/>
      </w:pPr>
      <w:r>
        <w:rPr>
          <w:rFonts w:ascii="Arial" w:cs="Arial" w:eastAsia="Arial" w:hAnsi="Arial"/>
          <w:b/>
          <w:bCs/>
          <w:color w:val="333333"/>
          <w:sz w:val="24"/>
          <w:szCs w:val="24"/>
        </w:rPr>
        <w:t xml:space="preserve">Kai Price</w:t>
      </w:r>
    </w:p>
    <w:p>
      <w:pPr>
        <w:spacing w:after="0" w:before="0"/>
        <w:jc w:val="center"/>
      </w:pPr>
      <w:r>
        <w:rPr>
          <w:rFonts w:ascii="Arial" w:cs="Arial" w:eastAsia="Arial" w:hAnsi="Arial"/>
          <w:color w:val="888888"/>
          <w:sz w:val="20"/>
          <w:szCs w:val="20"/>
        </w:rPr>
        <w:t xml:space="preserve">Structural Humanism Series — Document VI of VI</w:t>
      </w:r>
    </w:p>
    <w:p>
      <w:pPr>
        <w:spacing w:after="0" w:before="0"/>
        <w:jc w:val="center"/>
      </w:pPr>
      <w:r>
        <w:rPr>
          <w:rFonts w:ascii="Arial" w:cs="Arial" w:eastAsia="Arial" w:hAnsi="Arial"/>
          <w:color w:val="888888"/>
          <w:sz w:val="20"/>
          <w:szCs w:val="20"/>
        </w:rPr>
        <w:t xml:space="preserve">2025</w:t>
      </w:r>
    </w:p>
    <w:p>
      <w:pPr>
        <w:pBdr>
          <w:bottom w:val="single" w:color="999999" w:sz="4" w:space="1"/>
        </w:pBdr>
        <w:spacing w:after="0" w:before="600"/>
      </w:pPr>
      <w:r>
        <w:t xml:space="preserve"/>
      </w:r>
    </w:p>
    <w:p>
      <w:pPr>
        <w:spacing w:after="240" w:before="240"/>
        <w:jc w:val="center"/>
      </w:pPr>
      <w:r>
        <w:rPr>
          <w:rFonts w:ascii="Georgia" w:cs="Georgia" w:eastAsia="Georgia" w:hAnsi="Georgia"/>
          <w:i/>
          <w:iCs/>
          <w:color w:val="555555"/>
          <w:sz w:val="20"/>
          <w:szCs w:val="20"/>
        </w:rPr>
        <w:t xml:space="preserve">Every claim in this document is verifiable through declassified government records, peer-reviewed scholarship, mainstream investigative journalism, or on-record admissions of the people directly involved. Nothing requires you to trust the author. It requires you to look things up.</w:t>
      </w:r>
    </w:p>
    <w:p>
      <w:r>
        <w:br/>
        <w:t xml:space="preserve"/>
      </w:r>
    </w:p>
    <w:p>
      <w:pPr>
        <w:pStyle w:val="Heading2"/>
        <w:spacing w:after="160" w:before="360"/>
      </w:pPr>
      <w:r>
        <w:rPr>
          <w:rFonts w:ascii="Arial" w:cs="Arial" w:eastAsia="Arial" w:hAnsi="Arial"/>
          <w:b/>
          <w:bCs/>
          <w:color w:val="1A1A2E"/>
          <w:sz w:val="28"/>
          <w:szCs w:val="28"/>
        </w:rPr>
        <w:t xml:space="preserve">THE MEASURED FINDING</w:t>
      </w:r>
    </w:p>
    <w:p>
      <w:pPr>
        <w:spacing w:after="140" w:before="140" w:line="360"/>
      </w:pPr>
      <w:r>
        <w:rPr>
          <w:rFonts w:ascii="Georgia" w:cs="Georgia" w:eastAsia="Georgia" w:hAnsi="Georgia"/>
          <w:sz w:val="24"/>
          <w:szCs w:val="24"/>
        </w:rPr>
        <w:t xml:space="preserve">In 2014, political scientists Martin Gilens of Princeton and Benjamin Page of Northwestern published a study in the journal Perspectives on Politics analyzing 1,779 American policy outcomes. Their finding: the preferences of average citizens had essentially zero independent effect on what the government actually did. The preferences of economic elites and organized interest groups predicted outcomes with statistical significance. This is not a conspiracy theory. It is a peer-reviewed research result from two of the most respected political scientists in the United States.</w:t>
      </w:r>
    </w:p>
    <w:p>
      <w:pPr>
        <w:pBdr>
          <w:left w:val="thick" w:color="1A1A2E" w:sz="12" w:space="1"/>
        </w:pBdr>
        <w:spacing w:after="240" w:before="240"/>
        <w:ind w:left="720" w:right="360"/>
      </w:pPr>
      <w:r>
        <w:rPr>
          <w:rFonts w:ascii="Georgia" w:cs="Georgia" w:eastAsia="Georgia" w:hAnsi="Georgia"/>
          <w:b/>
          <w:bCs/>
          <w:color w:val="1A1A2E"/>
          <w:sz w:val="24"/>
          <w:szCs w:val="24"/>
        </w:rPr>
        <w:t xml:space="preserve">Average citizens have near-zero independent influence on U.S. policy outcomes. The American political system currently operates, by empirical measurement, as a democracy in its formal structure and an oligarchy in its functional reality.</w:t>
      </w:r>
    </w:p>
    <w:p>
      <w:pPr>
        <w:spacing w:after="140" w:before="140" w:line="360"/>
      </w:pPr>
      <w:r>
        <w:rPr>
          <w:rFonts w:ascii="Georgia" w:cs="Georgia" w:eastAsia="Georgia" w:hAnsi="Georgia"/>
          <w:sz w:val="24"/>
          <w:szCs w:val="24"/>
        </w:rPr>
        <w:t xml:space="preserve">This paper proposes specific, achievable structural reforms to close that gap. But the reforms cannot be proposed credibly without naming the problem accurately first — which is what the Gilens and Page finding does.</w:t>
      </w:r>
    </w:p>
    <w:p>
      <w:pPr>
        <w:spacing w:after="160" w:before="160"/>
      </w:pPr>
      <w:r>
        <w:rPr>
          <w:rFonts w:ascii="Arial" w:cs="Arial" w:eastAsia="Arial" w:hAnsi="Arial"/>
          <w:i/>
          <w:iCs/>
          <w:color w:val="777777"/>
          <w:sz w:val="18"/>
          <w:szCs w:val="18"/>
        </w:rPr>
        <w:t xml:space="preserve">SOURCE: Gilens, M. &amp; Page, B.I. (2014). Testing Theories of American Politics: Elites, Interest Groups, and Average Citizens. Perspectives on Politics, 12(3), 564-581.</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THE PLATONIC DIAGNOSIS: NATION AS PERSON</w:t>
      </w:r>
    </w:p>
    <w:p>
      <w:pPr>
        <w:spacing w:after="140" w:before="140" w:line="360"/>
      </w:pPr>
      <w:r>
        <w:rPr>
          <w:rFonts w:ascii="Georgia" w:cs="Georgia" w:eastAsia="Georgia" w:hAnsi="Georgia"/>
          <w:sz w:val="24"/>
          <w:szCs w:val="24"/>
        </w:rPr>
        <w:t xml:space="preserve">Plato argued in the Republic that the justice of a city can be diagnosed the same way the justice of a person can: by asking whether its stated principles and its actual conduct are aligned. A just person does not demand honesty from others while lying. They do not demand lawfulness from others while breaking the law. They do not demand nonviolence from others while using violence for personal gain.</w:t>
      </w:r>
    </w:p>
    <w:p>
      <w:pPr>
        <w:spacing w:after="140" w:before="140" w:line="360"/>
      </w:pPr>
      <w:r>
        <w:rPr>
          <w:rFonts w:ascii="Georgia" w:cs="Georgia" w:eastAsia="Georgia" w:hAnsi="Georgia"/>
          <w:sz w:val="24"/>
          <w:szCs w:val="24"/>
        </w:rPr>
        <w:t xml:space="preserve">A nation that demands honesty from citizens while presenting fabricated intelligence to justify war fails this test. A nation that demands lawfulness from citizens while ignoring its own foreign agent registration statutes for sixty years fails this test. A nation that demands nonviolence from citizens while arming networks that become the declared enemies responsible for thousands of American deaths fails this test. The reforms in this paper are not idealistic additions to a functioning democracy. They are the structural requirements of bringing the nation's conduct into alignment with its stated principles.</w:t>
      </w:r>
    </w:p>
    <w:p>
      <w:pPr>
        <w:spacing w:after="160" w:before="160"/>
      </w:pPr>
      <w:r>
        <w:rPr>
          <w:rFonts w:ascii="Arial" w:cs="Arial" w:eastAsia="Arial" w:hAnsi="Arial"/>
          <w:i/>
          <w:iCs/>
          <w:color w:val="777777"/>
          <w:sz w:val="18"/>
          <w:szCs w:val="18"/>
        </w:rPr>
        <w:t xml:space="preserve">SOURCE: Plato. Republic, Book IV, 434c-444e.</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WHY DEMOCRACY DESPITE ITS FAILURES</w:t>
      </w:r>
    </w:p>
    <w:p>
      <w:pPr>
        <w:spacing w:after="140" w:before="140" w:line="360"/>
      </w:pPr>
      <w:r>
        <w:rPr>
          <w:rFonts w:ascii="Georgia" w:cs="Georgia" w:eastAsia="Georgia" w:hAnsi="Georgia"/>
          <w:sz w:val="24"/>
          <w:szCs w:val="24"/>
        </w:rPr>
        <w:t xml:space="preserve">The Gilens and Page finding raises an obvious question: if the system is functionally an oligarchy, why defend democratic mechanisms at all? The answer is not that democracy produces the best decisions — empirically it often does not. The answer is that democracy produces correctable decisions.</w:t>
      </w:r>
    </w:p>
    <w:p>
      <w:pPr>
        <w:spacing w:after="140" w:before="140" w:line="360"/>
      </w:pPr>
      <w:r>
        <w:rPr>
          <w:rFonts w:ascii="Georgia" w:cs="Georgia" w:eastAsia="Georgia" w:hAnsi="Georgia"/>
          <w:sz w:val="24"/>
          <w:szCs w:val="24"/>
        </w:rPr>
        <w:t xml:space="preserve">Karl Popper made this argument in The Open Society and Its Enemies: the key question in political philosophy is not "who should rule?" but "how do we remove bad rulers without bloodshed?" A philosopher-king governing wisely outperforms a democratic majority governing poorly in ideal conditions. But a philosopher-king governing badly cannot be removed without violence, while a democratic majority governing badly can be removed through the ballot. The value of democracy is the existence of a correction mechanism — not the quality of the outputs it produces on any given day.</w:t>
      </w:r>
    </w:p>
    <w:p>
      <w:pPr>
        <w:spacing w:after="140" w:before="140" w:line="360"/>
      </w:pPr>
      <w:r>
        <w:rPr>
          <w:rFonts w:ascii="Georgia" w:cs="Georgia" w:eastAsia="Georgia" w:hAnsi="Georgia"/>
          <w:sz w:val="24"/>
          <w:szCs w:val="24"/>
        </w:rPr>
        <w:t xml:space="preserve">The lesser evil is the system that can be fixed. What follows are specific proposals for fixing it.</w:t>
      </w:r>
    </w:p>
    <w:p>
      <w:pPr>
        <w:spacing w:after="160" w:before="160"/>
      </w:pPr>
      <w:r>
        <w:rPr>
          <w:rFonts w:ascii="Arial" w:cs="Arial" w:eastAsia="Arial" w:hAnsi="Arial"/>
          <w:i/>
          <w:iCs/>
          <w:color w:val="777777"/>
          <w:sz w:val="18"/>
          <w:szCs w:val="18"/>
        </w:rPr>
        <w:t xml:space="preserve">SOURCE: Popper, K. (1945). The Open Society and Its Enemies. Routledge. Chapter 7.</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REFORM ONE: COMPETENCE-GATED CIVIC PARTICIPATION</w:t>
      </w:r>
    </w:p>
    <w:p>
      <w:pPr>
        <w:spacing w:after="140" w:before="140" w:line="360"/>
      </w:pPr>
      <w:r>
        <w:rPr>
          <w:rFonts w:ascii="Georgia" w:cs="Georgia" w:eastAsia="Georgia" w:hAnsi="Georgia"/>
          <w:sz w:val="24"/>
          <w:szCs w:val="24"/>
        </w:rPr>
        <w:t xml:space="preserve">The argument that democratic participation should require basic civic competence has serious intellectual backing — Plato, John Stuart Mill, Bryan Caplan — and an ugly historical shadow: poll taxes, literacy tests, and property requirements used to disenfranchise specific populations. Any proposal must be constructed with explicit, enforceable anti-discrimination protections.</w:t>
      </w:r>
    </w:p>
    <w:p>
      <w:pPr>
        <w:spacing w:after="140" w:before="140" w:line="360"/>
      </w:pPr>
      <w:r>
        <w:rPr>
          <w:rFonts w:ascii="Georgia" w:cs="Georgia" w:eastAsia="Georgia" w:hAnsi="Georgia"/>
          <w:sz w:val="24"/>
          <w:szCs w:val="24"/>
        </w:rPr>
        <w:t xml:space="preserve">The problem: Caplan documents in The Myth of the Rational Voter that voters are not merely uninformed but systematically biased in predictable ways on economic policy questions. The Annenberg Public Policy Center's 2022 survey found that only 47% of Americans could name all three branches of government. A democracy in which participation is systematically uninformed is not producing genuine self-governance — it is producing the appearance of it while managed information does the governing.</w:t>
      </w:r>
    </w:p>
    <w:p>
      <w:pPr>
        <w:spacing w:after="100" w:before="240"/>
      </w:pPr>
      <w:r>
        <w:rPr>
          <w:rFonts w:ascii="Arial" w:cs="Arial" w:eastAsia="Arial" w:hAnsi="Arial"/>
          <w:b/>
          <w:bCs/>
          <w:color w:val="333333"/>
          <w:sz w:val="22"/>
          <w:szCs w:val="22"/>
        </w:rPr>
        <w:t xml:space="preserve">What an actual question looks like:</w:t>
      </w:r>
    </w:p>
    <w:p>
      <w:pPr>
        <w:spacing w:after="140" w:before="140" w:line="360"/>
      </w:pPr>
      <w:r>
        <w:rPr>
          <w:rFonts w:ascii="Georgia" w:cs="Georgia" w:eastAsia="Georgia" w:hAnsi="Georgia"/>
          <w:sz w:val="24"/>
          <w:szCs w:val="24"/>
        </w:rPr>
        <w:t xml:space="preserve">"Name one of the three branches of the United States federal government." This cannot be answered by guessing. It tests knowledge every civics curriculum teaches. It has no discriminatory content. It is the floor, not the ceiling.</w:t>
      </w:r>
    </w:p>
    <w:p>
      <w:pPr>
        <w:spacing w:after="140" w:before="140" w:line="360"/>
      </w:pPr>
      <w:r>
        <w:rPr>
          <w:rFonts w:ascii="Georgia" w:cs="Georgia" w:eastAsia="Georgia" w:hAnsi="Georgia"/>
          <w:sz w:val="24"/>
          <w:szCs w:val="24"/>
        </w:rPr>
        <w:t xml:space="preserve">The mechanism: questions developed at community level by panels reflecting full local demographic diversity; federal review of each question for discriminatory intent or disparate impact; open public challenge process for any question; uniform enforcement across all demographics; severe penalties for differential enforcement. Applied to complex policy referenda, not to candidate elections.</w:t>
      </w:r>
    </w:p>
    <w:p>
      <w:pPr>
        <w:spacing w:after="140" w:before="140" w:line="360"/>
      </w:pPr>
      <w:r>
        <w:rPr>
          <w:rFonts w:ascii="Georgia" w:cs="Georgia" w:eastAsia="Georgia" w:hAnsi="Georgia"/>
          <w:sz w:val="24"/>
          <w:szCs w:val="24"/>
        </w:rPr>
        <w:t xml:space="preserve">The obvious objection: who decides what competence means, and who ensures that decision is not corrupted? The answer: no single person — which is the point. Aristotle argued in Politics Book III that collective judgment can exceed individual wisdom even when no single member is the wisest. The proposal is a democratic application of that principle: not a philosopher-king selecting who participates, but a community-developed standard, deliberated democratically, applied uniformly. This is the democratic correction of Plato, not a return to Platonic guardianship.</w:t>
      </w:r>
    </w:p>
    <w:p>
      <w:pPr>
        <w:spacing w:after="160" w:before="160"/>
      </w:pPr>
      <w:r>
        <w:rPr>
          <w:rFonts w:ascii="Arial" w:cs="Arial" w:eastAsia="Arial" w:hAnsi="Arial"/>
          <w:i/>
          <w:iCs/>
          <w:color w:val="777777"/>
          <w:sz w:val="18"/>
          <w:szCs w:val="18"/>
        </w:rPr>
        <w:t xml:space="preserve">SOURCE: Caplan, B. (2007). The Myth of the Rational Voter. Princeton University Press. | Annenberg Public Policy Center (2022). Civics Knowledge Survey. | Aristotle. Politics, Book III, 1281a-b.</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REFORM TWO: SAFEGUARDS AGAINST CAPTURE OF CIVIC SYSTEMS</w:t>
      </w:r>
    </w:p>
    <w:p>
      <w:pPr>
        <w:spacing w:after="140" w:before="140" w:line="360"/>
      </w:pPr>
      <w:r>
        <w:rPr>
          <w:rFonts w:ascii="Georgia" w:cs="Georgia" w:eastAsia="Georgia" w:hAnsi="Georgia"/>
          <w:sz w:val="24"/>
          <w:szCs w:val="24"/>
        </w:rPr>
        <w:t xml:space="preserve">Any civic technology system used to assess competence must be protected from becoming a targeting instrument. The proposed framework has four layers. First, bipartisan development: assessment questions are built by a team drawn equally from opposing political parties, with neither able to outvote the other. Second, bipartisan testing: both parties receive unfettered access to all software and question sets before deployment, and either can challenge any question for discriminatory intent. Third, civilian oversight: a rotating board of randomly selected citizens — not appointed by any political party — has the right to inspect the full system, review all questions, and flag concerns before and after each use. Fourth, post-implementation audit: any result can be challenged and reviewed, with full remediation available.</w:t>
      </w:r>
    </w:p>
    <w:p>
      <w:pPr>
        <w:spacing w:after="140" w:before="140" w:line="360"/>
      </w:pPr>
      <w:r>
        <w:rPr>
          <w:rFonts w:ascii="Georgia" w:cs="Georgia" w:eastAsia="Georgia" w:hAnsi="Georgia"/>
          <w:sz w:val="24"/>
          <w:szCs w:val="24"/>
        </w:rPr>
        <w:t xml:space="preserve">This structure mirrors existing models: the Election Assistance Commission's bipartisan design; rotating independent financial auditors used in corporate governance; international nuclear inspection regimes. No single actor controls the system at any layer. The "who audits the auditors" objection is answered operationally, not philosophically.</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REFORM THREE: DIRECT CONSTITUENT RECALL</w:t>
      </w:r>
    </w:p>
    <w:p>
      <w:pPr>
        <w:spacing w:after="140" w:before="140" w:line="360"/>
      </w:pPr>
      <w:r>
        <w:rPr>
          <w:rFonts w:ascii="Georgia" w:cs="Georgia" w:eastAsia="Georgia" w:hAnsi="Georgia"/>
          <w:sz w:val="24"/>
          <w:szCs w:val="24"/>
        </w:rPr>
        <w:t xml:space="preserve">The existing impeachment process requires political will from within the same class whose self-protection instincts are the primary obstacle to accountability. The solution: give constituents the direct power to initiate removal before the next election. A constitutional amendment establishing that a threshold of registered voter signatures — approximately thirty percent — triggers a special election. Municipal and state recall mechanisms exist across the United States and have produced exactly the behavioral incentive changes the theory predicts.</w:t>
      </w:r>
    </w:p>
    <w:p>
      <w:pPr>
        <w:spacing w:after="140" w:before="140" w:line="360"/>
      </w:pPr>
      <w:r>
        <w:rPr>
          <w:rFonts w:ascii="Georgia" w:cs="Georgia" w:eastAsia="Georgia" w:hAnsi="Georgia"/>
          <w:sz w:val="24"/>
          <w:szCs w:val="24"/>
        </w:rPr>
        <w:t xml:space="preserve">A member of Congress who can be removed within months of a sufficiently unpopular vote faces fundamentally different incentives from one who faces accountability only at a scheduled election two to six years away. The behavioral change does not require the recall to be used frequently. It requires only that it be available.</w:t>
      </w:r>
    </w:p>
    <w:p>
      <w:pPr>
        <w:spacing w:after="160" w:before="160"/>
      </w:pPr>
      <w:r>
        <w:rPr>
          <w:rFonts w:ascii="Arial" w:cs="Arial" w:eastAsia="Arial" w:hAnsi="Arial"/>
          <w:i/>
          <w:iCs/>
          <w:color w:val="777777"/>
          <w:sz w:val="18"/>
          <w:szCs w:val="18"/>
        </w:rPr>
        <w:t xml:space="preserve">SOURCE: Cronin, T.E. (1989). Direct Democracy: The Politics of Initiative, Referendum, and Recall. Harvard University Press.</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REFORM FOUR: DEFENSE AUDIT AS APPROPRIATIONS CONDITION</w:t>
      </w:r>
    </w:p>
    <w:p>
      <w:pPr>
        <w:spacing w:after="140" w:before="140" w:line="360"/>
      </w:pPr>
      <w:r>
        <w:rPr>
          <w:rFonts w:ascii="Georgia" w:cs="Georgia" w:eastAsia="Georgia" w:hAnsi="Georgia"/>
          <w:sz w:val="24"/>
          <w:szCs w:val="24"/>
        </w:rPr>
        <w:t xml:space="preserve">The Department of Defense has failed every independent audit it has attempted. A 2021 Reuters investigation documented that the Army alone recorded $2.8 trillion in unsupported accounting adjustments in a single year — not corrections to actual transactions, but entries made to produce the appearance of balance without documentation of the underlying activity. The entire federal education budget is approximately $80 billion per year. The Army's unsupported adjustments in one year equaled thirty-five years of the entire federal education budget.</w:t>
      </w:r>
    </w:p>
    <w:p>
      <w:pPr>
        <w:spacing w:after="140" w:before="140" w:line="360"/>
      </w:pPr>
      <w:r>
        <w:rPr>
          <w:rFonts w:ascii="Georgia" w:cs="Georgia" w:eastAsia="Georgia" w:hAnsi="Georgia"/>
          <w:sz w:val="24"/>
          <w:szCs w:val="24"/>
        </w:rPr>
        <w:t xml:space="preserve">The appropriate legislative response: condition continued DoD appropriations on satisfactory completion of an independent financial audit — the same accountability standard applied to every other recipient of federal funds. A research university that cannot account for federal grant expenditures loses funding. A defense contractor that cannot document expenditures loses contracts. The application of the same standard to the largest single recipient of federal appropriations is not radical. It is accounting.</w:t>
      </w:r>
    </w:p>
    <w:p>
      <w:pPr>
        <w:spacing w:after="160" w:before="160"/>
      </w:pPr>
      <w:r>
        <w:rPr>
          <w:rFonts w:ascii="Arial" w:cs="Arial" w:eastAsia="Arial" w:hAnsi="Arial"/>
          <w:i/>
          <w:iCs/>
          <w:color w:val="777777"/>
          <w:sz w:val="18"/>
          <w:szCs w:val="18"/>
        </w:rPr>
        <w:t xml:space="preserve">SOURCE: Reuters Investigates (November 18, 2021). Pentagon Failed Its Audit. Again. | National Center for Education Statistics (2023). Digest of Education Statistics.</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REFORM FIVE: MORAL EDUCATION AS CIVIC INFRASTRUCTURE</w:t>
      </w:r>
    </w:p>
    <w:p>
      <w:pPr>
        <w:spacing w:after="140" w:before="140" w:line="360"/>
      </w:pPr>
      <w:r>
        <w:rPr>
          <w:rFonts w:ascii="Georgia" w:cs="Georgia" w:eastAsia="Georgia" w:hAnsi="Georgia"/>
          <w:sz w:val="24"/>
          <w:szCs w:val="24"/>
        </w:rPr>
        <w:t xml:space="preserve">Japan's elementary school curriculum includes tokkatsu — structured social and moral education beginning in the first years of schooling, covering respect, responsibility, and cooperative behavior. Japan's crime rates and social trust scores are among the highest in the developed world across five decades of this approach. The World Values Survey documents cross-national social trust metrics that consistently place Japan at or near the top of developed nations.</w:t>
      </w:r>
    </w:p>
    <w:p>
      <w:pPr>
        <w:spacing w:after="140" w:before="140" w:line="360"/>
      </w:pPr>
      <w:r>
        <w:rPr>
          <w:rFonts w:ascii="Georgia" w:cs="Georgia" w:eastAsia="Georgia" w:hAnsi="Georgia"/>
          <w:sz w:val="24"/>
          <w:szCs w:val="24"/>
        </w:rPr>
        <w:t xml:space="preserve">The argument that moral formation cannot be taught is not supported by evidence. The argument that it should not be imposed is addressed by making its content subject to democratic deliberation at the community level rather than federal mandate. A federally supported framework for community-developed civic virtue education — teaching honesty, accountability, empathy, and the obligations of self-governance — is not ideological indoctrination. It is the formation that any functioning democracy requires in its citizens and that the current educational system has systematically failed to provide.</w:t>
      </w:r>
    </w:p>
    <w:p>
      <w:pPr>
        <w:spacing w:after="160" w:before="160"/>
      </w:pPr>
      <w:r>
        <w:rPr>
          <w:rFonts w:ascii="Arial" w:cs="Arial" w:eastAsia="Arial" w:hAnsi="Arial"/>
          <w:i/>
          <w:iCs/>
          <w:color w:val="777777"/>
          <w:sz w:val="18"/>
          <w:szCs w:val="18"/>
        </w:rPr>
        <w:t xml:space="preserve">SOURCE: Japanese Ministry of Education, Culture, Sports, Science and Technology (2017). Course of Study for Elementary Schools. | Inglehart, R. et al. (2020). World Values Survey Wave 7.</w:t>
      </w:r>
    </w:p>
    <w:p>
      <w:pPr>
        <w:pBdr>
          <w:bottom w:val="single" w:color="CCCCCC" w:sz="4" w:space="1"/>
        </w:pBdr>
        <w:spacing w:after="280" w:before="280"/>
      </w:pPr>
      <w:r>
        <w:t xml:space="preserve"/>
      </w:r>
    </w:p>
    <w:p>
      <w:pPr>
        <w:pStyle w:val="Heading2"/>
        <w:spacing w:after="160" w:before="360"/>
      </w:pPr>
      <w:r>
        <w:rPr>
          <w:rFonts w:ascii="Arial" w:cs="Arial" w:eastAsia="Arial" w:hAnsi="Arial"/>
          <w:b/>
          <w:bCs/>
          <w:color w:val="1A1A2E"/>
          <w:sz w:val="28"/>
          <w:szCs w:val="28"/>
        </w:rPr>
        <w:t xml:space="preserve">THE SPECIFIC CIVIC ACTION ROADMAP</w:t>
      </w:r>
    </w:p>
    <w:p>
      <w:pPr>
        <w:spacing w:after="140" w:before="140" w:line="360"/>
      </w:pPr>
      <w:r>
        <w:rPr>
          <w:rFonts w:ascii="Georgia" w:cs="Georgia" w:eastAsia="Georgia" w:hAnsi="Georgia"/>
          <w:sz w:val="24"/>
          <w:szCs w:val="24"/>
        </w:rPr>
        <w:t xml:space="preserve">ONE: Go to opensecrets.org. Look up your federal representative's pharmaceutical industry contributions and their votes on drug price negotiation. Share what you find with five people before the end of the week.</w:t>
      </w:r>
    </w:p>
    <w:p>
      <w:pPr>
        <w:spacing w:after="140" w:before="140" w:line="360"/>
      </w:pPr>
      <w:r>
        <w:rPr>
          <w:rFonts w:ascii="Georgia" w:cs="Georgia" w:eastAsia="Georgia" w:hAnsi="Georgia"/>
          <w:sz w:val="24"/>
          <w:szCs w:val="24"/>
        </w:rPr>
        <w:t xml:space="preserve">TWO: Go to foia.gov. File one FOIA request on any topic in this series. The response — whether documents or a denial — is information about what the government chooses to protect.</w:t>
      </w:r>
    </w:p>
    <w:p>
      <w:pPr>
        <w:spacing w:after="140" w:before="140" w:line="360"/>
      </w:pPr>
      <w:r>
        <w:rPr>
          <w:rFonts w:ascii="Georgia" w:cs="Georgia" w:eastAsia="Georgia" w:hAnsi="Georgia"/>
          <w:sz w:val="24"/>
          <w:szCs w:val="24"/>
        </w:rPr>
        <w:t xml:space="preserve">THREE: Call your congressional representative's office. Ask specifically about their position on conditioning DoD appropriations on audit completion. Record the response.</w:t>
      </w:r>
    </w:p>
    <w:p>
      <w:pPr>
        <w:spacing w:after="140" w:before="140" w:line="360"/>
      </w:pPr>
      <w:r>
        <w:rPr>
          <w:rFonts w:ascii="Georgia" w:cs="Georgia" w:eastAsia="Georgia" w:hAnsi="Georgia"/>
          <w:sz w:val="24"/>
          <w:szCs w:val="24"/>
        </w:rPr>
        <w:t xml:space="preserve">FOUR: Attend one local government meeting in the next thirty days. City council. School board. County commission. The people making the most direct decisions about your daily life are in that room. Most seats are empty.</w:t>
      </w:r>
    </w:p>
    <w:p>
      <w:pPr>
        <w:spacing w:after="140" w:before="140" w:line="360"/>
      </w:pPr>
      <w:r>
        <w:rPr>
          <w:rFonts w:ascii="Georgia" w:cs="Georgia" w:eastAsia="Georgia" w:hAnsi="Georgia"/>
          <w:sz w:val="24"/>
          <w:szCs w:val="24"/>
        </w:rPr>
        <w:t xml:space="preserve">FIVE: Identify the one reform in this paper that angers you most and research one existing organization already working on it. Contact them. The compound interest of organized pressure accumulates the same way debt does — but in the other direction.</w:t>
      </w:r>
    </w:p>
    <w:p>
      <w:pPr>
        <w:spacing w:after="140" w:before="140" w:line="360"/>
      </w:pPr>
      <w:r>
        <w:rPr>
          <w:rFonts w:ascii="Georgia" w:cs="Georgia" w:eastAsia="Georgia" w:hAnsi="Georgia"/>
          <w:sz w:val="24"/>
          <w:szCs w:val="24"/>
        </w:rPr>
        <w:t xml:space="preserve">The gap between the world as it is and the world as it could be is not natural. It was built. And because it was built, it can be changed.</w:t>
      </w:r>
    </w:p>
    <w:p>
      <w:pPr>
        <w:spacing w:after="140" w:before="140" w:line="360"/>
      </w:pPr>
      <w:r>
        <w:rPr>
          <w:rFonts w:ascii="Georgia" w:cs="Georgia" w:eastAsia="Georgia" w:hAnsi="Georgia"/>
          <w:sz w:val="24"/>
          <w:szCs w:val="24"/>
        </w:rPr>
        <w:t xml:space="preserve">Choose Better.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sz w:val="40"/>
      <w:szCs w:val="40"/>
    </w:rPr>
  </w:style>
  <w:style w:type="paragraph" w:styleId="Heading2">
    <w:name w:val="Heading 2"/>
    <w:basedOn w:val="Normal"/>
    <w:next w:val="Normal"/>
    <w:qFormat/>
    <w:pPr>
      <w:spacing w:after="160" w:before="3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2026-05-09T08:57:36.227Z</dcterms:created>
  <dcterms:modified xsi:type="dcterms:W3CDTF">2026-05-09T08:57:36.227Z</dcterms:modified>
</cp:coreProperties>
</file>

<file path=docProps/custom.xml><?xml version="1.0" encoding="utf-8"?>
<Properties xmlns="http://schemas.openxmlformats.org/officeDocument/2006/custom-properties" xmlns:vt="http://schemas.openxmlformats.org/officeDocument/2006/docPropsVTypes"/>
</file>