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Severity Cheat Sheet</w:t>
      </w:r>
    </w:p>
    <w:p>
      <w:pPr>
        <w:spacing w:after="300"/>
      </w:pPr>
      <w:r>
        <w:rPr>
          <w:i/>
          <w:iCs/>
          <w:color w:val="555555"/>
        </w:rPr>
        <w:t xml:space="preserve">Quick test: "If this fired against every user right now, unprompted, how bad is it?" → Critical/High. "Only bad in an edge case or with victim interaction?" → Medium/Low.</w:t>
      </w:r>
    </w:p>
    <w:p>
      <w:pPr>
        <w:pStyle w:val="Heading2"/>
        <w:spacing w:after="120" w:before="300"/>
      </w:pPr>
      <w:r>
        <w:t xml:space="preserve">Critical</w:t>
      </w:r>
    </w:p>
    <w:p>
      <w:pPr>
        <w:spacing w:after="120"/>
      </w:pPr>
      <w:r>
        <w:t xml:space="preserve">Full account takeover, RCE, mass data exfiltration, admin bypass with no user interaction needed.</w:t>
      </w:r>
    </w:p>
    <w:p>
      <w:pPr>
        <w:spacing w:after="120"/>
      </w:pPr>
      <w:r>
        <w:t xml:space="preserve">Examples: SQLi that dumps the full user table with password hashes; unauthenticated RCE via file upload; auth bypass that logs you in as any user.</w:t>
      </w:r>
    </w:p>
    <w:p>
      <w:pPr>
        <w:pStyle w:val="Heading2"/>
        <w:spacing w:after="120" w:before="300"/>
      </w:pPr>
      <w:r>
        <w:t xml:space="preserve">High</w:t>
      </w:r>
    </w:p>
    <w:p>
      <w:pPr>
        <w:spacing w:after="120"/>
      </w:pPr>
      <w:r>
        <w:t xml:space="preserve">Significant data exposure, privilege escalation, auth bypass requiring some condition (e.g. a known username).</w:t>
      </w:r>
    </w:p>
    <w:p>
      <w:pPr>
        <w:spacing w:after="120"/>
      </w:pPr>
      <w:r>
        <w:t xml:space="preserve">Examples: IDOR that exposes other users' private data; privilege escalation from user to admin; SSRF reaching internal services.</w:t>
      </w:r>
    </w:p>
    <w:p>
      <w:pPr>
        <w:pStyle w:val="Heading2"/>
        <w:spacing w:after="120" w:before="300"/>
      </w:pPr>
      <w:r>
        <w:t xml:space="preserve">Medium</w:t>
      </w:r>
    </w:p>
    <w:p>
      <w:pPr>
        <w:spacing w:after="120"/>
      </w:pPr>
      <w:r>
        <w:t xml:space="preserve">Requires user interaction (CSRF, stored XSS needing a click), limited data exposure, or affects only the attacker’s own account in an unintended way.</w:t>
      </w:r>
    </w:p>
    <w:p>
      <w:pPr>
        <w:spacing w:after="120"/>
      </w:pPr>
      <w:r>
        <w:t xml:space="preserve">Examples: CSRF on a state-changing action; stored XSS requiring an admin to view a specific page; reflected XSS requiring a crafted link.</w:t>
      </w:r>
    </w:p>
    <w:p>
      <w:pPr>
        <w:pStyle w:val="Heading2"/>
        <w:spacing w:after="120" w:before="300"/>
      </w:pPr>
      <w:r>
        <w:t xml:space="preserve">Low</w:t>
      </w:r>
    </w:p>
    <w:p>
      <w:pPr>
        <w:spacing w:after="120"/>
      </w:pPr>
      <w:r>
        <w:t xml:space="preserve">Info disclosure with minimal impact, missing best-practice headers, issues needing unrealistic preconditions.</w:t>
      </w:r>
    </w:p>
    <w:p>
      <w:pPr>
        <w:spacing w:after="120"/>
      </w:pPr>
      <w:r>
        <w:t xml:space="preserve">Examples: missing security headers; verbose error messages with no exploitable data; self-XSS.</w:t>
      </w:r>
    </w:p>
    <w:p>
      <w:pPr>
        <w:pStyle w:val="Heading2"/>
        <w:spacing w:after="120" w:before="300"/>
      </w:pPr>
      <w:r>
        <w:t xml:space="preserve">Informational</w:t>
      </w:r>
    </w:p>
    <w:p>
      <w:pPr>
        <w:spacing w:after="120"/>
      </w:pPr>
      <w:r>
        <w:t xml:space="preserve">Best-practice suggestions, no direct security impact.</w:t>
      </w:r>
    </w:p>
    <w:p>
      <w:pPr>
        <w:spacing w:after="120"/>
      </w:pPr>
      <w:r>
        <w:t xml:space="preserve">Examples: outdated library version with no known exploitable vulnerability; suggestions for defense-in-depth.</w:t>
      </w:r>
    </w:p>
    <w:p>
      <w:pPr>
        <w:pBdr>
          <w:bottom w:val="single" w:color="CCCCCC" w:sz="6" w:space="1"/>
        </w:pBdr>
        <w:spacing w:after="150" w:before="300"/>
      </w:pPr>
    </w:p>
    <w:p>
      <w:pPr>
        <w:spacing w:before="300"/>
      </w:pPr>
      <w:r>
        <w:rPr>
          <w:i/>
          <w:iCs/>
          <w:color w:val="777777"/>
          <w:sz w:val="18"/>
          <w:szCs w:val="18"/>
        </w:rPr>
        <w:t xml:space="preserve">Part of the VulnCorp Helpdesk training toolkit — for use in authorized lab and bug bounty contexts only.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2026-09-11T07:39:14.412Z</dcterms:created>
  <dcterms:modified xsi:type="dcterms:W3CDTF">2026-09-11T07:39:14.412Z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