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0A30C4DD" w:rsidR="0019040E" w:rsidRPr="0019040E" w:rsidRDefault="00711779"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Transportation and Logistics</w:t>
      </w:r>
      <w:r w:rsidR="00377EA0">
        <w:rPr>
          <w:rFonts w:asciiTheme="minorHAnsi" w:eastAsiaTheme="minorEastAsia" w:hAnsiTheme="minorHAnsi" w:cstheme="minorBidi"/>
          <w:sz w:val="24"/>
          <w:szCs w:val="24"/>
          <w:lang w:val="en-GB"/>
        </w:rPr>
        <w:t xml:space="preserve"> </w:t>
      </w:r>
      <w:r w:rsidR="00CE4C81">
        <w:rPr>
          <w:rFonts w:asciiTheme="minorHAnsi" w:eastAsiaTheme="minorEastAsia" w:hAnsiTheme="minorHAnsi" w:cstheme="minorBidi"/>
          <w:sz w:val="24"/>
          <w:szCs w:val="24"/>
          <w:lang w:val="en-GB"/>
        </w:rPr>
        <w:t>Analysis</w:t>
      </w:r>
    </w:p>
    <w:p w14:paraId="6B77E068" w14:textId="77777777" w:rsidR="00BD269E" w:rsidRDefault="00640B56" w:rsidP="007B6A5E">
      <w:pPr>
        <w:jc w:val="both"/>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890407" w:rsidRPr="00890407">
        <w:rPr>
          <w:rFonts w:eastAsiaTheme="minorEastAsia"/>
          <w:sz w:val="24"/>
          <w:szCs w:val="24"/>
          <w:lang w:val="en-GB"/>
        </w:rPr>
        <w:t>Welcome to the Transportation &amp; Logistics Data Challenge! In today's fast-paced supply chain industry, optimizing shipment efficiency, reducing delivery times, and enhancing operational visibility are critical for success. This challenge invites data enthusiasts to explore and derive actionable insights from a real-world logistics tracking dataset, featuring shipment records, GPS tracking, vehicle information, and transportation distances.</w:t>
      </w:r>
    </w:p>
    <w:p w14:paraId="6214EA4E" w14:textId="193A450E" w:rsidR="17B20213" w:rsidRDefault="009C5078" w:rsidP="00F42741">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32688AC8" w:rsidR="17B20213" w:rsidRDefault="5046142B" w:rsidP="007B6A5E">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BD269E">
        <w:rPr>
          <w:rFonts w:eastAsiaTheme="minorEastAsia"/>
          <w:sz w:val="24"/>
          <w:szCs w:val="24"/>
          <w:lang w:val="en-GB"/>
        </w:rPr>
        <w:t>4</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6B43147" w:rsidR="17B20213" w:rsidRDefault="0485895D" w:rsidP="007B6A5E">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p>
    <w:p w14:paraId="7A55F559" w14:textId="77777777" w:rsidR="007B6A5E" w:rsidRDefault="007B6A5E" w:rsidP="6D4D0125">
      <w:pPr>
        <w:jc w:val="both"/>
        <w:rPr>
          <w:rFonts w:eastAsiaTheme="minorEastAsia"/>
          <w:sz w:val="24"/>
          <w:szCs w:val="24"/>
          <w:lang w:val="en-GB"/>
        </w:rPr>
      </w:pP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7B6A5E">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7B6A5E">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7B6A5E">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7B6A5E">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257E7FE1" w:rsidR="10EA9341" w:rsidRDefault="10EA9341" w:rsidP="64D0B082">
      <w:pPr>
        <w:rPr>
          <w:rFonts w:eastAsiaTheme="minorEastAsia"/>
          <w:sz w:val="24"/>
          <w:szCs w:val="24"/>
        </w:rPr>
      </w:pPr>
      <w:r w:rsidRPr="64D0B082">
        <w:rPr>
          <w:rFonts w:eastAsiaTheme="minorEastAsia"/>
          <w:sz w:val="24"/>
          <w:szCs w:val="24"/>
        </w:rPr>
        <w:t xml:space="preserve">Start: </w:t>
      </w:r>
      <w:r w:rsidR="00D5245C">
        <w:rPr>
          <w:rFonts w:eastAsiaTheme="minorEastAsia"/>
          <w:b/>
          <w:bCs/>
          <w:sz w:val="24"/>
          <w:szCs w:val="24"/>
        </w:rPr>
        <w:t>Mon</w:t>
      </w:r>
      <w:r w:rsidR="00F27E73">
        <w:rPr>
          <w:rFonts w:eastAsiaTheme="minorEastAsia"/>
          <w:b/>
          <w:bCs/>
          <w:sz w:val="24"/>
          <w:szCs w:val="24"/>
        </w:rPr>
        <w:t>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D945F4">
        <w:rPr>
          <w:rFonts w:eastAsiaTheme="minorEastAsia"/>
          <w:b/>
          <w:bCs/>
          <w:sz w:val="24"/>
          <w:szCs w:val="24"/>
        </w:rPr>
        <w:t>19</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D945F4">
        <w:rPr>
          <w:rFonts w:eastAsiaTheme="minorEastAsia"/>
          <w:b/>
          <w:bCs/>
          <w:sz w:val="24"/>
          <w:szCs w:val="24"/>
        </w:rPr>
        <w:t>February</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10E95B92" w:rsidR="11595BEB" w:rsidRDefault="11595BEB" w:rsidP="64D0B082">
      <w:pPr>
        <w:rPr>
          <w:rFonts w:eastAsiaTheme="minorEastAsia"/>
          <w:sz w:val="24"/>
          <w:szCs w:val="24"/>
        </w:rPr>
      </w:pPr>
      <w:r w:rsidRPr="64D0B082">
        <w:rPr>
          <w:rFonts w:eastAsiaTheme="minorEastAsia"/>
          <w:sz w:val="24"/>
          <w:szCs w:val="24"/>
        </w:rPr>
        <w:t xml:space="preserve">Submission Deadline: </w:t>
      </w:r>
      <w:r w:rsidR="008B51EC">
        <w:rPr>
          <w:rFonts w:eastAsiaTheme="minorEastAsia"/>
          <w:b/>
          <w:bCs/>
          <w:sz w:val="24"/>
          <w:szCs w:val="24"/>
        </w:rPr>
        <w:t>Wednesday</w:t>
      </w:r>
      <w:r w:rsidR="0077038C">
        <w:rPr>
          <w:rFonts w:eastAsiaTheme="minorEastAsia"/>
          <w:sz w:val="24"/>
          <w:szCs w:val="24"/>
        </w:rPr>
        <w:t xml:space="preserve"> </w:t>
      </w:r>
      <w:r w:rsidRPr="64D0B082">
        <w:rPr>
          <w:rFonts w:eastAsiaTheme="minorEastAsia"/>
          <w:b/>
          <w:bCs/>
          <w:sz w:val="24"/>
          <w:szCs w:val="24"/>
        </w:rPr>
        <w:t xml:space="preserve">the </w:t>
      </w:r>
      <w:r w:rsidR="00F84AB5">
        <w:rPr>
          <w:rFonts w:eastAsiaTheme="minorEastAsia"/>
          <w:b/>
          <w:bCs/>
          <w:sz w:val="24"/>
          <w:szCs w:val="24"/>
        </w:rPr>
        <w:t>19</w:t>
      </w:r>
      <w:r w:rsidRPr="64D0B082">
        <w:rPr>
          <w:rFonts w:eastAsiaTheme="minorEastAsia"/>
          <w:b/>
          <w:bCs/>
          <w:sz w:val="24"/>
          <w:szCs w:val="24"/>
          <w:vertAlign w:val="superscript"/>
        </w:rPr>
        <w:t>th</w:t>
      </w:r>
      <w:r w:rsidRPr="64D0B082">
        <w:rPr>
          <w:rFonts w:eastAsiaTheme="minorEastAsia"/>
          <w:b/>
          <w:bCs/>
          <w:sz w:val="24"/>
          <w:szCs w:val="24"/>
        </w:rPr>
        <w:t xml:space="preserve"> of </w:t>
      </w:r>
      <w:r w:rsidR="00202165">
        <w:rPr>
          <w:rFonts w:eastAsiaTheme="minorEastAsia"/>
          <w:b/>
          <w:bCs/>
          <w:sz w:val="24"/>
          <w:szCs w:val="24"/>
        </w:rPr>
        <w:t>March</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290EC8F4"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B4B84">
        <w:rPr>
          <w:rFonts w:eastAsiaTheme="minorEastAsia"/>
          <w:b/>
          <w:bCs/>
          <w:sz w:val="24"/>
          <w:szCs w:val="24"/>
        </w:rPr>
        <w:t>Tuesday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7B6A5E">
        <w:rPr>
          <w:rFonts w:eastAsiaTheme="minorEastAsia"/>
          <w:b/>
          <w:bCs/>
          <w:sz w:val="24"/>
          <w:szCs w:val="24"/>
        </w:rPr>
        <w:t>5</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336F13">
        <w:rPr>
          <w:rFonts w:eastAsiaTheme="minorEastAsia"/>
          <w:b/>
          <w:bCs/>
          <w:sz w:val="24"/>
          <w:szCs w:val="24"/>
        </w:rPr>
        <w:t>March</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B23E322" w14:textId="77777777" w:rsidR="007B6A5E" w:rsidRDefault="007B6A5E" w:rsidP="565BAF56">
      <w:pPr>
        <w:rPr>
          <w:rFonts w:eastAsiaTheme="minorEastAsia"/>
          <w:b/>
          <w:bCs/>
          <w:sz w:val="24"/>
          <w:szCs w:val="24"/>
          <w:lang w:val="en-GB"/>
        </w:rPr>
      </w:pPr>
    </w:p>
    <w:p w14:paraId="238E7C08" w14:textId="77777777" w:rsidR="00F66808" w:rsidRPr="007B6A5E" w:rsidRDefault="3CB11064" w:rsidP="00F66808">
      <w:pPr>
        <w:pStyle w:val="Heading4"/>
        <w:rPr>
          <w:rFonts w:asciiTheme="minorHAnsi" w:eastAsiaTheme="minorEastAsia" w:hAnsiTheme="minorHAnsi" w:cstheme="minorBidi"/>
          <w:b/>
          <w:bCs/>
          <w:i w:val="0"/>
          <w:iCs w:val="0"/>
          <w:color w:val="000000" w:themeColor="text1"/>
          <w:sz w:val="24"/>
          <w:szCs w:val="24"/>
          <w:lang w:val="en-GB"/>
        </w:rPr>
      </w:pPr>
      <w:r w:rsidRPr="007B6A5E">
        <w:rPr>
          <w:rFonts w:asciiTheme="minorHAnsi" w:eastAsiaTheme="minorEastAsia" w:hAnsiTheme="minorHAnsi" w:cstheme="minorBidi"/>
          <w:b/>
          <w:bCs/>
          <w:i w:val="0"/>
          <w:iCs w:val="0"/>
          <w:color w:val="000000" w:themeColor="text1"/>
          <w:sz w:val="24"/>
          <w:szCs w:val="24"/>
          <w:lang w:val="en-GB"/>
        </w:rPr>
        <w:t xml:space="preserve">Questions: </w:t>
      </w:r>
    </w:p>
    <w:p w14:paraId="6369C43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Top Routes: What are the most common shipment routes and their average distances?</w:t>
      </w:r>
    </w:p>
    <w:p w14:paraId="6B9896CA"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Delivery Times: Which routes have the longest delivery times?</w:t>
      </w:r>
    </w:p>
    <w:p w14:paraId="57DDC169" w14:textId="7582A9CA"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Peak Shipments: When are the busiest booking and delivery </w:t>
      </w:r>
      <w:r w:rsidR="00536703">
        <w:rPr>
          <w:rFonts w:eastAsiaTheme="minorEastAsia"/>
          <w:color w:val="000000" w:themeColor="text1"/>
          <w:sz w:val="24"/>
          <w:szCs w:val="24"/>
          <w:lang w:val="en-GB"/>
        </w:rPr>
        <w:t>dates</w:t>
      </w:r>
      <w:r w:rsidRPr="00A26AAA">
        <w:rPr>
          <w:rFonts w:eastAsiaTheme="minorEastAsia"/>
          <w:color w:val="000000" w:themeColor="text1"/>
          <w:sz w:val="24"/>
          <w:szCs w:val="24"/>
          <w:lang w:val="en-GB"/>
        </w:rPr>
        <w:t>?</w:t>
      </w:r>
    </w:p>
    <w:p w14:paraId="7151C710"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Delays Analysis: What factors contribute to shipment delays?</w:t>
      </w:r>
    </w:p>
    <w:p w14:paraId="694E9C8F"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Supplier Trends: Which suppliers handle the most shipments, and do some have higher delays?</w:t>
      </w:r>
    </w:p>
    <w:p w14:paraId="07D8FB96"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Customer Insights: Which customers receive the most shipments, and do they experience delays?</w:t>
      </w:r>
    </w:p>
    <w:p w14:paraId="2A38509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Material Movement: What are the most frequently shipped materials, and do certain materials have longer delivery times?</w:t>
      </w:r>
    </w:p>
    <w:p w14:paraId="4D791D1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Bottlenecks: Where are the most common shipment delays based on GPS data?</w:t>
      </w:r>
    </w:p>
    <w:p w14:paraId="3A5E63A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Predicting Delays: Can you build a model to predict shipment delays?</w:t>
      </w:r>
    </w:p>
    <w:p w14:paraId="59B76932" w14:textId="52211AFD" w:rsidR="00F66808" w:rsidRPr="00A26AAA" w:rsidRDefault="00A26AAA" w:rsidP="00A26AAA">
      <w:pPr>
        <w:rPr>
          <w:lang w:val="en-GB"/>
        </w:rPr>
      </w:pPr>
      <w:r w:rsidRPr="00A26AAA">
        <w:rPr>
          <w:rFonts w:eastAsiaTheme="minorEastAsia"/>
          <w:color w:val="000000" w:themeColor="text1"/>
          <w:sz w:val="24"/>
          <w:szCs w:val="24"/>
          <w:lang w:val="en-GB"/>
        </w:rPr>
        <w:t>Route Optimization: What strategies can improve transportation efficiency?</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0A66A12F" w14:textId="77777777" w:rsid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 xml:space="preserve">Business users use reports to make data-driven decisions. That’s why reports are called effective if they enable users to drill down and filter data quickly and intuitively to find answers to any question they might have and </w:t>
      </w:r>
      <w:proofErr w:type="spellStart"/>
      <w:r w:rsidRPr="007B6A5E">
        <w:rPr>
          <w:rFonts w:eastAsiaTheme="minorEastAsia"/>
          <w:color w:val="000000" w:themeColor="text1"/>
          <w:sz w:val="24"/>
          <w:szCs w:val="24"/>
        </w:rPr>
        <w:t>analyse</w:t>
      </w:r>
      <w:proofErr w:type="spellEnd"/>
      <w:r w:rsidRPr="007B6A5E">
        <w:rPr>
          <w:rFonts w:eastAsiaTheme="minorEastAsia"/>
          <w:color w:val="000000" w:themeColor="text1"/>
          <w:sz w:val="24"/>
          <w:szCs w:val="24"/>
        </w:rPr>
        <w:t xml:space="preserve"> data in all possible directions and dimensions.</w:t>
      </w:r>
    </w:p>
    <w:p w14:paraId="62E95276" w14:textId="77777777" w:rsidR="007B6A5E" w:rsidRPr="007B6A5E" w:rsidRDefault="007B6A5E" w:rsidP="007B6A5E">
      <w:pPr>
        <w:spacing w:after="0"/>
        <w:jc w:val="both"/>
        <w:rPr>
          <w:rFonts w:eastAsiaTheme="minorEastAsia"/>
          <w:color w:val="000000" w:themeColor="text1"/>
          <w:sz w:val="24"/>
          <w:szCs w:val="24"/>
        </w:rPr>
      </w:pPr>
    </w:p>
    <w:p w14:paraId="1E42437F" w14:textId="77777777" w:rsidR="007B6A5E" w:rsidRP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 xml:space="preserve">Each report is evaluated based on three main criteria: </w:t>
      </w:r>
      <w:r w:rsidRPr="007B6A5E">
        <w:rPr>
          <w:rFonts w:eastAsiaTheme="minorEastAsia"/>
          <w:b/>
          <w:bCs/>
          <w:color w:val="000000" w:themeColor="text1"/>
          <w:sz w:val="24"/>
          <w:szCs w:val="24"/>
        </w:rPr>
        <w:t>intuitiveness</w:t>
      </w:r>
      <w:r w:rsidRPr="007B6A5E">
        <w:rPr>
          <w:rFonts w:eastAsiaTheme="minorEastAsia"/>
          <w:color w:val="000000" w:themeColor="text1"/>
          <w:sz w:val="24"/>
          <w:szCs w:val="24"/>
        </w:rPr>
        <w:t xml:space="preserve">, </w:t>
      </w:r>
      <w:r w:rsidRPr="007B6A5E">
        <w:rPr>
          <w:rFonts w:eastAsiaTheme="minorEastAsia"/>
          <w:b/>
          <w:bCs/>
          <w:color w:val="000000" w:themeColor="text1"/>
          <w:sz w:val="24"/>
          <w:szCs w:val="24"/>
        </w:rPr>
        <w:t>insightfulness</w:t>
      </w:r>
      <w:r w:rsidRPr="007B6A5E">
        <w:rPr>
          <w:rFonts w:eastAsiaTheme="minorEastAsia"/>
          <w:color w:val="000000" w:themeColor="text1"/>
          <w:sz w:val="24"/>
          <w:szCs w:val="24"/>
        </w:rPr>
        <w:t xml:space="preserve">, and </w:t>
      </w:r>
      <w:r w:rsidRPr="007B6A5E">
        <w:rPr>
          <w:rFonts w:eastAsiaTheme="minorEastAsia"/>
          <w:b/>
          <w:bCs/>
          <w:color w:val="000000" w:themeColor="text1"/>
          <w:sz w:val="24"/>
          <w:szCs w:val="24"/>
        </w:rPr>
        <w:t>interactivity</w:t>
      </w:r>
      <w:r w:rsidRPr="007B6A5E">
        <w:rPr>
          <w:rFonts w:eastAsiaTheme="minorEastAsia"/>
          <w:color w:val="000000" w:themeColor="text1"/>
          <w:sz w:val="24"/>
          <w:szCs w:val="24"/>
        </w:rPr>
        <w:t xml:space="preserve">. These factors ensure that the reports are not only accurate and </w:t>
      </w:r>
      <w:proofErr w:type="gramStart"/>
      <w:r w:rsidRPr="007B6A5E">
        <w:rPr>
          <w:rFonts w:eastAsiaTheme="minorEastAsia"/>
          <w:color w:val="000000" w:themeColor="text1"/>
          <w:sz w:val="24"/>
          <w:szCs w:val="24"/>
        </w:rPr>
        <w:t>functional, but</w:t>
      </w:r>
      <w:proofErr w:type="gramEnd"/>
      <w:r w:rsidRPr="007B6A5E">
        <w:rPr>
          <w:rFonts w:eastAsiaTheme="minorEastAsia"/>
          <w:color w:val="000000" w:themeColor="text1"/>
          <w:sz w:val="24"/>
          <w:szCs w:val="24"/>
        </w:rPr>
        <w:t xml:space="preserve"> also meet the target audience's needs and are ready to be presented to the end-users. </w:t>
      </w:r>
    </w:p>
    <w:p w14:paraId="347CA8F3" w14:textId="77777777" w:rsidR="007B6A5E" w:rsidRDefault="007B6A5E" w:rsidP="007B6A5E">
      <w:pPr>
        <w:spacing w:after="0"/>
        <w:jc w:val="both"/>
        <w:rPr>
          <w:rFonts w:eastAsiaTheme="minorEastAsia"/>
          <w:color w:val="000000" w:themeColor="text1"/>
          <w:sz w:val="24"/>
          <w:szCs w:val="24"/>
          <w:lang w:val="en-GB"/>
        </w:rPr>
      </w:pPr>
    </w:p>
    <w:p w14:paraId="781A945A"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 xml:space="preserve">Intuitive: How clear and easy it is to understand the report </w:t>
      </w:r>
      <w:proofErr w:type="gramStart"/>
      <w:r w:rsidRPr="007B6A5E">
        <w:rPr>
          <w:rFonts w:eastAsiaTheme="minorEastAsia"/>
          <w:b/>
          <w:bCs/>
          <w:color w:val="000000" w:themeColor="text1"/>
          <w:sz w:val="24"/>
          <w:szCs w:val="24"/>
        </w:rPr>
        <w:t>at a glance</w:t>
      </w:r>
      <w:proofErr w:type="gramEnd"/>
      <w:r w:rsidRPr="007B6A5E">
        <w:rPr>
          <w:rFonts w:eastAsiaTheme="minorEastAsia"/>
          <w:b/>
          <w:bCs/>
          <w:color w:val="000000" w:themeColor="text1"/>
          <w:sz w:val="24"/>
          <w:szCs w:val="24"/>
        </w:rPr>
        <w:t xml:space="preserve">? </w:t>
      </w:r>
      <w:r w:rsidRPr="007B6A5E">
        <w:rPr>
          <w:rFonts w:eastAsiaTheme="minorEastAsia"/>
          <w:color w:val="000000" w:themeColor="text1"/>
          <w:sz w:val="24"/>
          <w:szCs w:val="24"/>
        </w:rPr>
        <w:t xml:space="preserve">(max 15 points) </w:t>
      </w:r>
    </w:p>
    <w:p w14:paraId="2EBA2F11"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the report visually appealing?</w:t>
      </w:r>
    </w:p>
    <w:p w14:paraId="37AC6815"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charts and visual elements</w:t>
      </w:r>
    </w:p>
    <w:p w14:paraId="6C21BD5A"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tell a story?</w:t>
      </w:r>
    </w:p>
    <w:p w14:paraId="656A09B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it not overwhelming to the user?</w:t>
      </w:r>
    </w:p>
    <w:p w14:paraId="3003EAE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tooltips, titles, and legends</w:t>
      </w:r>
    </w:p>
    <w:p w14:paraId="21587571"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Interactive: How engaging and seamless is the report exploration and interaction with data?</w:t>
      </w:r>
      <w:r w:rsidRPr="007B6A5E">
        <w:rPr>
          <w:rFonts w:eastAsiaTheme="minorEastAsia"/>
          <w:color w:val="000000" w:themeColor="text1"/>
          <w:sz w:val="24"/>
          <w:szCs w:val="24"/>
        </w:rPr>
        <w:t xml:space="preserve"> (max 15 points) </w:t>
      </w:r>
    </w:p>
    <w:p w14:paraId="599E46B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 xml:space="preserve">Clear navigation that allows </w:t>
      </w:r>
      <w:proofErr w:type="gramStart"/>
      <w:r w:rsidRPr="007B6A5E">
        <w:rPr>
          <w:rFonts w:eastAsiaTheme="minorEastAsia"/>
          <w:color w:val="000000" w:themeColor="text1"/>
          <w:sz w:val="24"/>
          <w:szCs w:val="24"/>
        </w:rPr>
        <w:t>user</w:t>
      </w:r>
      <w:proofErr w:type="gramEnd"/>
      <w:r w:rsidRPr="007B6A5E">
        <w:rPr>
          <w:rFonts w:eastAsiaTheme="minorEastAsia"/>
          <w:color w:val="000000" w:themeColor="text1"/>
          <w:sz w:val="24"/>
          <w:szCs w:val="24"/>
        </w:rPr>
        <w:t xml:space="preserve"> to explore the report</w:t>
      </w:r>
    </w:p>
    <w:p w14:paraId="280CC6E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Use of slicers and other interactive elements</w:t>
      </w:r>
    </w:p>
    <w:p w14:paraId="0D38857C"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Smooth cross-chart integration</w:t>
      </w:r>
    </w:p>
    <w:p w14:paraId="4C65A48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touch devices?</w:t>
      </w:r>
    </w:p>
    <w:p w14:paraId="7266085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Are tutorials and guiding elements helpful to the user?</w:t>
      </w:r>
    </w:p>
    <w:p w14:paraId="4F5AD303"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Insightful: How accurate, complete, and meaningful is the data in driving decisions?</w:t>
      </w:r>
      <w:r w:rsidRPr="007B6A5E">
        <w:rPr>
          <w:rFonts w:eastAsiaTheme="minorEastAsia"/>
          <w:color w:val="000000" w:themeColor="text1"/>
          <w:sz w:val="24"/>
          <w:szCs w:val="24"/>
        </w:rPr>
        <w:t xml:space="preserve"> (max 15 points) </w:t>
      </w:r>
    </w:p>
    <w:p w14:paraId="6A5DF90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Depth of analysis</w:t>
      </w:r>
    </w:p>
    <w:p w14:paraId="32273A57"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Data cleaning and preparation</w:t>
      </w:r>
    </w:p>
    <w:p w14:paraId="25F5E94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data show up accurately in the report?</w:t>
      </w:r>
    </w:p>
    <w:p w14:paraId="66043D0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quicker loading time?</w:t>
      </w:r>
    </w:p>
    <w:p w14:paraId="4BA66B18"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provide deeper exploration of data (drill-down)?</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744B79E"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656C6C28"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A62027">
        <w:rPr>
          <w:rFonts w:eastAsiaTheme="minorEastAsia"/>
          <w:color w:val="222222"/>
          <w:sz w:val="24"/>
          <w:szCs w:val="24"/>
          <w:lang w:val="en-GB"/>
        </w:rPr>
        <w:t>4</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747752D3"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2C06BB">
        <w:rPr>
          <w:rFonts w:eastAsiaTheme="minorEastAsia"/>
          <w:color w:val="222222"/>
          <w:sz w:val="24"/>
          <w:szCs w:val="24"/>
          <w:lang w:val="en-GB"/>
        </w:rPr>
        <w:t>TransportationAndLogistics</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0"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1"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4"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5"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9"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1"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734AA"/>
    <w:multiLevelType w:val="multilevel"/>
    <w:tmpl w:val="1BF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7"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8"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9"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9"/>
  </w:num>
  <w:num w:numId="2" w16cid:durableId="726802548">
    <w:abstractNumId w:val="14"/>
  </w:num>
  <w:num w:numId="3" w16cid:durableId="1934583650">
    <w:abstractNumId w:val="28"/>
  </w:num>
  <w:num w:numId="4" w16cid:durableId="1671181629">
    <w:abstractNumId w:val="7"/>
  </w:num>
  <w:num w:numId="5" w16cid:durableId="1095980126">
    <w:abstractNumId w:val="4"/>
  </w:num>
  <w:num w:numId="6" w16cid:durableId="643049554">
    <w:abstractNumId w:val="18"/>
  </w:num>
  <w:num w:numId="7" w16cid:durableId="1847743891">
    <w:abstractNumId w:val="26"/>
  </w:num>
  <w:num w:numId="8" w16cid:durableId="859204084">
    <w:abstractNumId w:val="3"/>
  </w:num>
  <w:num w:numId="9" w16cid:durableId="1258250151">
    <w:abstractNumId w:val="2"/>
  </w:num>
  <w:num w:numId="10" w16cid:durableId="1407530951">
    <w:abstractNumId w:val="6"/>
  </w:num>
  <w:num w:numId="11" w16cid:durableId="838273155">
    <w:abstractNumId w:val="20"/>
  </w:num>
  <w:num w:numId="12" w16cid:durableId="1110272401">
    <w:abstractNumId w:val="27"/>
  </w:num>
  <w:num w:numId="13" w16cid:durableId="298192588">
    <w:abstractNumId w:val="13"/>
  </w:num>
  <w:num w:numId="14" w16cid:durableId="10109411">
    <w:abstractNumId w:val="10"/>
  </w:num>
  <w:num w:numId="15" w16cid:durableId="590044926">
    <w:abstractNumId w:val="17"/>
  </w:num>
  <w:num w:numId="16" w16cid:durableId="40861325">
    <w:abstractNumId w:val="15"/>
  </w:num>
  <w:num w:numId="17" w16cid:durableId="1482964697">
    <w:abstractNumId w:val="25"/>
  </w:num>
  <w:num w:numId="18" w16cid:durableId="1218321444">
    <w:abstractNumId w:val="5"/>
  </w:num>
  <w:num w:numId="19" w16cid:durableId="494804444">
    <w:abstractNumId w:val="11"/>
  </w:num>
  <w:num w:numId="20" w16cid:durableId="759832715">
    <w:abstractNumId w:val="1"/>
  </w:num>
  <w:num w:numId="21" w16cid:durableId="567686641">
    <w:abstractNumId w:val="29"/>
  </w:num>
  <w:num w:numId="22" w16cid:durableId="652175749">
    <w:abstractNumId w:val="19"/>
  </w:num>
  <w:num w:numId="23" w16cid:durableId="2106225778">
    <w:abstractNumId w:val="30"/>
  </w:num>
  <w:num w:numId="24" w16cid:durableId="2028411196">
    <w:abstractNumId w:val="16"/>
  </w:num>
  <w:num w:numId="25" w16cid:durableId="553077182">
    <w:abstractNumId w:val="22"/>
  </w:num>
  <w:num w:numId="26" w16cid:durableId="1228146566">
    <w:abstractNumId w:val="23"/>
  </w:num>
  <w:num w:numId="27" w16cid:durableId="1040252966">
    <w:abstractNumId w:val="21"/>
  </w:num>
  <w:num w:numId="28" w16cid:durableId="628363935">
    <w:abstractNumId w:val="0"/>
  </w:num>
  <w:num w:numId="29" w16cid:durableId="1135564943">
    <w:abstractNumId w:val="12"/>
  </w:num>
  <w:num w:numId="30" w16cid:durableId="7756856">
    <w:abstractNumId w:val="8"/>
  </w:num>
  <w:num w:numId="31" w16cid:durableId="18310245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F1867"/>
    <w:rsid w:val="000F4807"/>
    <w:rsid w:val="000F5524"/>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73307"/>
    <w:rsid w:val="00273A89"/>
    <w:rsid w:val="002755D3"/>
    <w:rsid w:val="002757E0"/>
    <w:rsid w:val="00283684"/>
    <w:rsid w:val="00283C7E"/>
    <w:rsid w:val="00283EB7"/>
    <w:rsid w:val="002935F8"/>
    <w:rsid w:val="00296A3D"/>
    <w:rsid w:val="002A7CA5"/>
    <w:rsid w:val="002B490B"/>
    <w:rsid w:val="002B4B84"/>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31C0"/>
    <w:rsid w:val="00406321"/>
    <w:rsid w:val="00410B86"/>
    <w:rsid w:val="004215C7"/>
    <w:rsid w:val="00422515"/>
    <w:rsid w:val="00424179"/>
    <w:rsid w:val="004269DC"/>
    <w:rsid w:val="00427436"/>
    <w:rsid w:val="00432960"/>
    <w:rsid w:val="00435B8A"/>
    <w:rsid w:val="0044459C"/>
    <w:rsid w:val="00446BB5"/>
    <w:rsid w:val="00450B94"/>
    <w:rsid w:val="00452061"/>
    <w:rsid w:val="00453BB0"/>
    <w:rsid w:val="00461423"/>
    <w:rsid w:val="00466FB9"/>
    <w:rsid w:val="00471DB2"/>
    <w:rsid w:val="0047273B"/>
    <w:rsid w:val="00485D88"/>
    <w:rsid w:val="00487E50"/>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803E0"/>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35307"/>
    <w:rsid w:val="00640B56"/>
    <w:rsid w:val="00640ED1"/>
    <w:rsid w:val="00645010"/>
    <w:rsid w:val="00645515"/>
    <w:rsid w:val="0065001E"/>
    <w:rsid w:val="00651B5F"/>
    <w:rsid w:val="00660557"/>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11779"/>
    <w:rsid w:val="007217A0"/>
    <w:rsid w:val="00726AD3"/>
    <w:rsid w:val="00731DC8"/>
    <w:rsid w:val="00735410"/>
    <w:rsid w:val="00751621"/>
    <w:rsid w:val="0075426D"/>
    <w:rsid w:val="0077038C"/>
    <w:rsid w:val="007739A1"/>
    <w:rsid w:val="0078184E"/>
    <w:rsid w:val="007952F7"/>
    <w:rsid w:val="007B392C"/>
    <w:rsid w:val="007B6A5E"/>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6868"/>
    <w:rsid w:val="00A4289C"/>
    <w:rsid w:val="00A42A07"/>
    <w:rsid w:val="00A43C5F"/>
    <w:rsid w:val="00A52082"/>
    <w:rsid w:val="00A5522C"/>
    <w:rsid w:val="00A5748C"/>
    <w:rsid w:val="00A57750"/>
    <w:rsid w:val="00A61BE8"/>
    <w:rsid w:val="00A62027"/>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EF4"/>
    <w:rsid w:val="00B52569"/>
    <w:rsid w:val="00B6203E"/>
    <w:rsid w:val="00B6739F"/>
    <w:rsid w:val="00B83462"/>
    <w:rsid w:val="00B86379"/>
    <w:rsid w:val="00B87B70"/>
    <w:rsid w:val="00B9030D"/>
    <w:rsid w:val="00B90EAF"/>
    <w:rsid w:val="00B91E9F"/>
    <w:rsid w:val="00B929F7"/>
    <w:rsid w:val="00BA1C55"/>
    <w:rsid w:val="00BA37AF"/>
    <w:rsid w:val="00BA75E8"/>
    <w:rsid w:val="00BB6240"/>
    <w:rsid w:val="00BC25E5"/>
    <w:rsid w:val="00BC26EE"/>
    <w:rsid w:val="00BC5445"/>
    <w:rsid w:val="00BD269E"/>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32CA"/>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D0F"/>
    <w:rsid w:val="00D353EC"/>
    <w:rsid w:val="00D40B33"/>
    <w:rsid w:val="00D44134"/>
    <w:rsid w:val="00D45429"/>
    <w:rsid w:val="00D456BC"/>
    <w:rsid w:val="00D5245C"/>
    <w:rsid w:val="00D649BD"/>
    <w:rsid w:val="00D679F1"/>
    <w:rsid w:val="00D77BDE"/>
    <w:rsid w:val="00D77FE9"/>
    <w:rsid w:val="00D80D35"/>
    <w:rsid w:val="00D8351E"/>
    <w:rsid w:val="00D85A39"/>
    <w:rsid w:val="00D945F4"/>
    <w:rsid w:val="00D970D4"/>
    <w:rsid w:val="00D97569"/>
    <w:rsid w:val="00DA1AFF"/>
    <w:rsid w:val="00DA1CE6"/>
    <w:rsid w:val="00DA2AB2"/>
    <w:rsid w:val="00DA6703"/>
    <w:rsid w:val="00DA6B03"/>
    <w:rsid w:val="00DB52C3"/>
    <w:rsid w:val="00DC0AE8"/>
    <w:rsid w:val="00DD0118"/>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5767"/>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E7D96"/>
    <w:rsid w:val="00EF1AF6"/>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16CF"/>
    <w:rsid w:val="00F82258"/>
    <w:rsid w:val="00F83C2D"/>
    <w:rsid w:val="00F84AB5"/>
    <w:rsid w:val="00F84C56"/>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character" w:styleId="FollowedHyperlink">
    <w:name w:val="FollowedHyperlink"/>
    <w:basedOn w:val="DefaultParagraphFont"/>
    <w:uiPriority w:val="99"/>
    <w:semiHidden/>
    <w:unhideWhenUsed/>
    <w:rsid w:val="007B6A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5767">
      <w:bodyDiv w:val="1"/>
      <w:marLeft w:val="0"/>
      <w:marRight w:val="0"/>
      <w:marTop w:val="0"/>
      <w:marBottom w:val="0"/>
      <w:divBdr>
        <w:top w:val="none" w:sz="0" w:space="0" w:color="auto"/>
        <w:left w:val="none" w:sz="0" w:space="0" w:color="auto"/>
        <w:bottom w:val="none" w:sz="0" w:space="0" w:color="auto"/>
        <w:right w:val="none" w:sz="0" w:space="0" w:color="auto"/>
      </w:divBdr>
    </w:div>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431586055">
      <w:bodyDiv w:val="1"/>
      <w:marLeft w:val="0"/>
      <w:marRight w:val="0"/>
      <w:marTop w:val="0"/>
      <w:marBottom w:val="0"/>
      <w:divBdr>
        <w:top w:val="none" w:sz="0" w:space="0" w:color="auto"/>
        <w:left w:val="none" w:sz="0" w:space="0" w:color="auto"/>
        <w:bottom w:val="none" w:sz="0" w:space="0" w:color="auto"/>
        <w:right w:val="none" w:sz="0" w:space="0" w:color="auto"/>
      </w:divBdr>
    </w:div>
    <w:div w:id="1646157257">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 w:id="19092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february-2025?utm_source=challenge&amp;utm_medium=fp20analytics&amp;utm_campaign=fp20analytics_web_february&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 Cledera</cp:lastModifiedBy>
  <cp:revision>2</cp:revision>
  <dcterms:created xsi:type="dcterms:W3CDTF">2025-02-19T09:12:00Z</dcterms:created>
  <dcterms:modified xsi:type="dcterms:W3CDTF">2025-02-19T09:12:00Z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