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4fbf7bb34ecd01201dfa403941ddb7ddfc5f2e"/>
    <w:p>
      <w:pPr>
        <w:pStyle w:val="Heading1"/>
      </w:pPr>
      <w:r>
        <w:t xml:space="preserve">KO Content Studios — Brand Operating Guidelines</w:t>
      </w:r>
    </w:p>
    <w:bookmarkStart w:id="24" w:name="brand-overview"/>
    <w:p>
      <w:pPr>
        <w:pStyle w:val="Heading2"/>
      </w:pPr>
      <w:r>
        <w:t xml:space="preserve">Brand Overview</w:t>
      </w:r>
    </w:p>
    <w:bookmarkStart w:id="20" w:name="brand-name"/>
    <w:p>
      <w:pPr>
        <w:pStyle w:val="Heading3"/>
      </w:pPr>
      <w:r>
        <w:t xml:space="preserve">Brand Name</w:t>
      </w:r>
    </w:p>
    <w:p>
      <w:pPr>
        <w:pStyle w:val="FirstParagraph"/>
      </w:pPr>
      <w:r>
        <w:t xml:space="preserve">KO Content Studios</w:t>
      </w:r>
    </w:p>
    <w:bookmarkEnd w:id="20"/>
    <w:bookmarkStart w:id="21" w:name="tagline"/>
    <w:p>
      <w:pPr>
        <w:pStyle w:val="Heading3"/>
      </w:pPr>
      <w:r>
        <w:t xml:space="preserve">Tagline</w:t>
      </w:r>
    </w:p>
    <w:p>
      <w:pPr>
        <w:pStyle w:val="FirstParagraph"/>
      </w:pPr>
      <w:r>
        <w:t xml:space="preserve">Content that Captivates. Design that Delivers.</w:t>
      </w:r>
    </w:p>
    <w:bookmarkEnd w:id="21"/>
    <w:bookmarkStart w:id="22" w:name="brand-purpose"/>
    <w:p>
      <w:pPr>
        <w:pStyle w:val="Heading3"/>
      </w:pPr>
      <w:r>
        <w:t xml:space="preserve">Brand Purpose</w:t>
      </w:r>
    </w:p>
    <w:p>
      <w:pPr>
        <w:pStyle w:val="FirstParagraph"/>
      </w:pPr>
      <w:r>
        <w:t xml:space="preserve">KO Content Studios exists to help brands communicate clearly and present themselves professionally through strategic branding, design systems, and content creation.</w:t>
      </w:r>
    </w:p>
    <w:p>
      <w:pPr>
        <w:pStyle w:val="BodyText"/>
      </w:pPr>
      <w:r>
        <w:t xml:space="preserve">The studio transforms ideas into structured visual identities, scalable content systems, and memorable brand experiences.</w:t>
      </w:r>
    </w:p>
    <w:bookmarkEnd w:id="22"/>
    <w:bookmarkStart w:id="23" w:name="brand-positioning"/>
    <w:p>
      <w:pPr>
        <w:pStyle w:val="Heading3"/>
      </w:pPr>
      <w:r>
        <w:t xml:space="preserve">Brand Positioning</w:t>
      </w:r>
    </w:p>
    <w:p>
      <w:pPr>
        <w:pStyle w:val="FirstParagraph"/>
      </w:pPr>
      <w:r>
        <w:t xml:space="preserve">KO Content Studios is a creative services company focused on branding, digital design, content production, and visual storytelling.</w:t>
      </w:r>
    </w:p>
    <w:p>
      <w:pPr>
        <w:pStyle w:val="BodyText"/>
      </w:pPr>
      <w:r>
        <w:t xml:space="preserve">Unlike traditional design agencies that focus only on aesthetics, KO Content Studios builds systems that help brands grow, maintain consistency, and communicate effectively across platforms.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We partner with brands to create functional design and content systems that communicate clearly, strengthen audience trust, and support sustained business performance.</w:t>
      </w:r>
    </w:p>
    <w:p>
      <w:r>
        <w:pict>
          <v:rect style="width:0;height:1.5pt" o:hralign="center" o:hrstd="t" o:hr="t"/>
        </w:pict>
      </w:r>
    </w:p>
    <w:bookmarkEnd w:id="26"/>
    <w:bookmarkStart w:id="27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To become the long-term creative partner businesses rely on for branding, content infrastructure, and design systems that reduce growth friction and accelerate digital performance.</w:t>
      </w:r>
    </w:p>
    <w:p>
      <w:r>
        <w:pict>
          <v:rect style="width:0;height:1.5pt" o:hralign="center" o:hrstd="t" o:hr="t"/>
        </w:pict>
      </w:r>
    </w:p>
    <w:bookmarkEnd w:id="27"/>
    <w:bookmarkStart w:id="34" w:name="core-values"/>
    <w:p>
      <w:pPr>
        <w:pStyle w:val="Heading1"/>
      </w:pPr>
      <w:r>
        <w:t xml:space="preserve">Core Values</w:t>
      </w:r>
    </w:p>
    <w:bookmarkStart w:id="28" w:name="design-with-purpose"/>
    <w:p>
      <w:pPr>
        <w:pStyle w:val="Heading2"/>
      </w:pPr>
      <w:r>
        <w:t xml:space="preserve">1. Design With Purpose</w:t>
      </w:r>
    </w:p>
    <w:p>
      <w:pPr>
        <w:pStyle w:val="FirstParagraph"/>
      </w:pPr>
      <w:r>
        <w:t xml:space="preserve">Every asset must contribute to a business objective.</w:t>
      </w:r>
    </w:p>
    <w:p>
      <w:pPr>
        <w:pStyle w:val="BodyText"/>
      </w:pPr>
      <w:r>
        <w:t xml:space="preserve">Content and design should:</w:t>
      </w:r>
    </w:p>
    <w:p>
      <w:pPr>
        <w:pStyle w:val="Compact"/>
        <w:numPr>
          <w:ilvl w:val="0"/>
          <w:numId w:val="1001"/>
        </w:numPr>
      </w:pPr>
      <w:r>
        <w:t xml:space="preserve">Inform</w:t>
      </w:r>
    </w:p>
    <w:p>
      <w:pPr>
        <w:pStyle w:val="Compact"/>
        <w:numPr>
          <w:ilvl w:val="0"/>
          <w:numId w:val="1001"/>
        </w:numPr>
      </w:pPr>
      <w:r>
        <w:t xml:space="preserve">Convert</w:t>
      </w:r>
    </w:p>
    <w:p>
      <w:pPr>
        <w:pStyle w:val="Compact"/>
        <w:numPr>
          <w:ilvl w:val="0"/>
          <w:numId w:val="1001"/>
        </w:numPr>
      </w:pPr>
      <w:r>
        <w:t xml:space="preserve">Educate</w:t>
      </w:r>
    </w:p>
    <w:p>
      <w:pPr>
        <w:pStyle w:val="Compact"/>
        <w:numPr>
          <w:ilvl w:val="0"/>
          <w:numId w:val="1001"/>
        </w:numPr>
      </w:pPr>
      <w:r>
        <w:t xml:space="preserve">Retain</w:t>
      </w:r>
    </w:p>
    <w:p>
      <w:pPr>
        <w:pStyle w:val="Compact"/>
        <w:numPr>
          <w:ilvl w:val="0"/>
          <w:numId w:val="1001"/>
        </w:numPr>
      </w:pPr>
      <w:r>
        <w:t xml:space="preserve">Reinforce brand identity</w:t>
      </w:r>
    </w:p>
    <w:p>
      <w:pPr>
        <w:pStyle w:val="FirstParagraph"/>
      </w:pPr>
      <w:r>
        <w:t xml:space="preserve">Visuals that look good but serve no purpose should not be produced.</w:t>
      </w:r>
    </w:p>
    <w:p>
      <w:r>
        <w:pict>
          <v:rect style="width:0;height:1.5pt" o:hralign="center" o:hrstd="t" o:hr="t"/>
        </w:pict>
      </w:r>
    </w:p>
    <w:bookmarkEnd w:id="28"/>
    <w:bookmarkStart w:id="29" w:name="build-for-longevity"/>
    <w:p>
      <w:pPr>
        <w:pStyle w:val="Heading2"/>
      </w:pPr>
      <w:r>
        <w:t xml:space="preserve">2. Build For Longevity</w:t>
      </w:r>
    </w:p>
    <w:p>
      <w:pPr>
        <w:pStyle w:val="FirstParagraph"/>
      </w:pPr>
      <w:r>
        <w:t xml:space="preserve">Create systems, not one-off assets.</w:t>
      </w:r>
    </w:p>
    <w:p>
      <w:pPr>
        <w:pStyle w:val="BodyText"/>
      </w:pPr>
      <w:r>
        <w:t xml:space="preserve">Focus on:</w:t>
      </w:r>
    </w:p>
    <w:p>
      <w:pPr>
        <w:pStyle w:val="Compact"/>
        <w:numPr>
          <w:ilvl w:val="0"/>
          <w:numId w:val="1002"/>
        </w:numPr>
      </w:pPr>
      <w:r>
        <w:t xml:space="preserve">Templates</w:t>
      </w:r>
    </w:p>
    <w:p>
      <w:pPr>
        <w:pStyle w:val="Compact"/>
        <w:numPr>
          <w:ilvl w:val="0"/>
          <w:numId w:val="1002"/>
        </w:numPr>
      </w:pPr>
      <w:r>
        <w:t xml:space="preserve">Design libraries</w:t>
      </w:r>
    </w:p>
    <w:p>
      <w:pPr>
        <w:pStyle w:val="Compact"/>
        <w:numPr>
          <w:ilvl w:val="0"/>
          <w:numId w:val="1002"/>
        </w:numPr>
      </w:pPr>
      <w:r>
        <w:t xml:space="preserve">Brand rules</w:t>
      </w:r>
    </w:p>
    <w:p>
      <w:pPr>
        <w:pStyle w:val="Compact"/>
        <w:numPr>
          <w:ilvl w:val="0"/>
          <w:numId w:val="1002"/>
        </w:numPr>
      </w:pPr>
      <w:r>
        <w:t xml:space="preserve">Content frameworks</w:t>
      </w:r>
    </w:p>
    <w:p>
      <w:pPr>
        <w:pStyle w:val="Compact"/>
        <w:numPr>
          <w:ilvl w:val="0"/>
          <w:numId w:val="1002"/>
        </w:numPr>
      </w:pPr>
      <w:r>
        <w:t xml:space="preserve">Repeatable processes</w:t>
      </w:r>
    </w:p>
    <w:p>
      <w:pPr>
        <w:pStyle w:val="FirstParagraph"/>
      </w:pPr>
      <w:r>
        <w:t xml:space="preserve">The goal is scalability.</w:t>
      </w:r>
    </w:p>
    <w:p>
      <w:r>
        <w:pict>
          <v:rect style="width:0;height:1.5pt" o:hralign="center" o:hrstd="t" o:hr="t"/>
        </w:pict>
      </w:r>
    </w:p>
    <w:bookmarkEnd w:id="29"/>
    <w:bookmarkStart w:id="30" w:name="partnership-over-transactions"/>
    <w:p>
      <w:pPr>
        <w:pStyle w:val="Heading2"/>
      </w:pPr>
      <w:r>
        <w:t xml:space="preserve">3. Partnership Over Transactions</w:t>
      </w:r>
    </w:p>
    <w:p>
      <w:pPr>
        <w:pStyle w:val="FirstParagraph"/>
      </w:pPr>
      <w:r>
        <w:t xml:space="preserve">Treat clients as collaborators.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03"/>
        </w:numPr>
      </w:pPr>
      <w:r>
        <w:t xml:space="preserve">Understanding client goals</w:t>
      </w:r>
    </w:p>
    <w:p>
      <w:pPr>
        <w:pStyle w:val="Compact"/>
        <w:numPr>
          <w:ilvl w:val="0"/>
          <w:numId w:val="1003"/>
        </w:numPr>
      </w:pPr>
      <w:r>
        <w:t xml:space="preserve">Long-term growth</w:t>
      </w:r>
    </w:p>
    <w:p>
      <w:pPr>
        <w:pStyle w:val="Compact"/>
        <w:numPr>
          <w:ilvl w:val="0"/>
          <w:numId w:val="1003"/>
        </w:numPr>
      </w:pPr>
      <w:r>
        <w:t xml:space="preserve">Strategic thinking</w:t>
      </w:r>
    </w:p>
    <w:p>
      <w:pPr>
        <w:pStyle w:val="Compact"/>
        <w:numPr>
          <w:ilvl w:val="0"/>
          <w:numId w:val="1003"/>
        </w:numPr>
      </w:pPr>
      <w:r>
        <w:t xml:space="preserve">Mutual success</w:t>
      </w:r>
    </w:p>
    <w:p>
      <w:r>
        <w:pict>
          <v:rect style="width:0;height:1.5pt" o:hralign="center" o:hrstd="t" o:hr="t"/>
        </w:pict>
      </w:r>
    </w:p>
    <w:bookmarkEnd w:id="30"/>
    <w:bookmarkStart w:id="31" w:name="clarity-in-communication"/>
    <w:p>
      <w:pPr>
        <w:pStyle w:val="Heading2"/>
      </w:pPr>
      <w:r>
        <w:t xml:space="preserve">4. Clarity In Communication</w:t>
      </w:r>
    </w:p>
    <w:p>
      <w:pPr>
        <w:pStyle w:val="FirstParagraph"/>
      </w:pPr>
      <w:r>
        <w:t xml:space="preserve">Communication should be:</w:t>
      </w:r>
    </w:p>
    <w:p>
      <w:pPr>
        <w:pStyle w:val="Compact"/>
        <w:numPr>
          <w:ilvl w:val="0"/>
          <w:numId w:val="1004"/>
        </w:numPr>
      </w:pPr>
      <w:r>
        <w:t xml:space="preserve">Direct</w:t>
      </w:r>
    </w:p>
    <w:p>
      <w:pPr>
        <w:pStyle w:val="Compact"/>
        <w:numPr>
          <w:ilvl w:val="0"/>
          <w:numId w:val="1004"/>
        </w:numPr>
      </w:pPr>
      <w:r>
        <w:t xml:space="preserve">Transparent</w:t>
      </w:r>
    </w:p>
    <w:p>
      <w:pPr>
        <w:pStyle w:val="Compact"/>
        <w:numPr>
          <w:ilvl w:val="0"/>
          <w:numId w:val="1004"/>
        </w:numPr>
      </w:pPr>
      <w:r>
        <w:t xml:space="preserve">Honest</w:t>
      </w:r>
    </w:p>
    <w:p>
      <w:pPr>
        <w:pStyle w:val="Compact"/>
        <w:numPr>
          <w:ilvl w:val="0"/>
          <w:numId w:val="1004"/>
        </w:numPr>
      </w:pPr>
      <w:r>
        <w:t xml:space="preserve">Professional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05"/>
        </w:numPr>
      </w:pPr>
      <w:r>
        <w:t xml:space="preserve">Unnecessary jargon</w:t>
      </w:r>
    </w:p>
    <w:p>
      <w:pPr>
        <w:pStyle w:val="Compact"/>
        <w:numPr>
          <w:ilvl w:val="0"/>
          <w:numId w:val="1005"/>
        </w:numPr>
      </w:pPr>
      <w:r>
        <w:t xml:space="preserve">Ego-driven communication</w:t>
      </w:r>
    </w:p>
    <w:p>
      <w:pPr>
        <w:pStyle w:val="Compact"/>
        <w:numPr>
          <w:ilvl w:val="0"/>
          <w:numId w:val="1005"/>
        </w:numPr>
      </w:pPr>
      <w:r>
        <w:t xml:space="preserve">Ambiguity</w:t>
      </w:r>
    </w:p>
    <w:p>
      <w:r>
        <w:pict>
          <v:rect style="width:0;height:1.5pt" o:hralign="center" o:hrstd="t" o:hr="t"/>
        </w:pict>
      </w:r>
    </w:p>
    <w:bookmarkEnd w:id="31"/>
    <w:bookmarkStart w:id="32" w:name="accountability-to-results"/>
    <w:p>
      <w:pPr>
        <w:pStyle w:val="Heading2"/>
      </w:pPr>
      <w:r>
        <w:t xml:space="preserve">5. Accountability To Results</w:t>
      </w:r>
    </w:p>
    <w:p>
      <w:pPr>
        <w:pStyle w:val="FirstParagraph"/>
      </w:pPr>
      <w:r>
        <w:t xml:space="preserve">Creative work should connect to measurable outcomes.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6"/>
        </w:numPr>
      </w:pPr>
      <w:r>
        <w:t xml:space="preserve">Engagement</w:t>
      </w:r>
    </w:p>
    <w:p>
      <w:pPr>
        <w:pStyle w:val="Compact"/>
        <w:numPr>
          <w:ilvl w:val="0"/>
          <w:numId w:val="1006"/>
        </w:numPr>
      </w:pPr>
      <w:r>
        <w:t xml:space="preserve">Reach</w:t>
      </w:r>
    </w:p>
    <w:p>
      <w:pPr>
        <w:pStyle w:val="Compact"/>
        <w:numPr>
          <w:ilvl w:val="0"/>
          <w:numId w:val="1006"/>
        </w:numPr>
      </w:pPr>
      <w:r>
        <w:t xml:space="preserve">Conversions</w:t>
      </w:r>
    </w:p>
    <w:p>
      <w:pPr>
        <w:pStyle w:val="Compact"/>
        <w:numPr>
          <w:ilvl w:val="0"/>
          <w:numId w:val="1006"/>
        </w:numPr>
      </w:pPr>
      <w:r>
        <w:t xml:space="preserve">Retention</w:t>
      </w:r>
    </w:p>
    <w:p>
      <w:pPr>
        <w:pStyle w:val="Compact"/>
        <w:numPr>
          <w:ilvl w:val="0"/>
          <w:numId w:val="1006"/>
        </w:numPr>
      </w:pPr>
      <w:r>
        <w:t xml:space="preserve">Brand consistency</w:t>
      </w:r>
    </w:p>
    <w:p>
      <w:pPr>
        <w:pStyle w:val="Compact"/>
        <w:numPr>
          <w:ilvl w:val="0"/>
          <w:numId w:val="1006"/>
        </w:numPr>
      </w:pPr>
      <w:r>
        <w:t xml:space="preserve">Audience trust</w:t>
      </w:r>
    </w:p>
    <w:p>
      <w:r>
        <w:pict>
          <v:rect style="width:0;height:1.5pt" o:hralign="center" o:hrstd="t" o:hr="t"/>
        </w:pict>
      </w:r>
    </w:p>
    <w:bookmarkEnd w:id="32"/>
    <w:bookmarkStart w:id="33" w:name="continuous-improvement"/>
    <w:p>
      <w:pPr>
        <w:pStyle w:val="Heading2"/>
      </w:pPr>
      <w:r>
        <w:t xml:space="preserve">6. Continuous Improvement</w:t>
      </w:r>
    </w:p>
    <w:p>
      <w:pPr>
        <w:pStyle w:val="FirstParagraph"/>
      </w:pPr>
      <w:r>
        <w:t xml:space="preserve">Regularly improve:</w:t>
      </w:r>
    </w:p>
    <w:p>
      <w:pPr>
        <w:pStyle w:val="Compact"/>
        <w:numPr>
          <w:ilvl w:val="0"/>
          <w:numId w:val="1007"/>
        </w:numPr>
      </w:pPr>
      <w:r>
        <w:t xml:space="preserve">Processes</w:t>
      </w:r>
    </w:p>
    <w:p>
      <w:pPr>
        <w:pStyle w:val="Compact"/>
        <w:numPr>
          <w:ilvl w:val="0"/>
          <w:numId w:val="1007"/>
        </w:numPr>
      </w:pPr>
      <w:r>
        <w:t xml:space="preserve">Assets</w:t>
      </w:r>
    </w:p>
    <w:p>
      <w:pPr>
        <w:pStyle w:val="Compact"/>
        <w:numPr>
          <w:ilvl w:val="0"/>
          <w:numId w:val="1007"/>
        </w:numPr>
      </w:pPr>
      <w:r>
        <w:t xml:space="preserve">Workflows</w:t>
      </w:r>
    </w:p>
    <w:p>
      <w:pPr>
        <w:pStyle w:val="Compact"/>
        <w:numPr>
          <w:ilvl w:val="0"/>
          <w:numId w:val="1007"/>
        </w:numPr>
      </w:pPr>
      <w:r>
        <w:t xml:space="preserve">Systems</w:t>
      </w:r>
    </w:p>
    <w:p>
      <w:pPr>
        <w:pStyle w:val="Compact"/>
        <w:numPr>
          <w:ilvl w:val="0"/>
          <w:numId w:val="1007"/>
        </w:numPr>
      </w:pPr>
      <w:r>
        <w:t xml:space="preserve">Content strategies</w:t>
      </w:r>
    </w:p>
    <w:p>
      <w:pPr>
        <w:pStyle w:val="FirstParagraph"/>
      </w:pPr>
      <w:r>
        <w:t xml:space="preserve">Adapt proactively to changing client needs.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brand-personality"/>
    <w:p>
      <w:pPr>
        <w:pStyle w:val="Heading1"/>
      </w:pPr>
      <w:r>
        <w:t xml:space="preserve">Brand Personality</w:t>
      </w:r>
    </w:p>
    <w:p>
      <w:pPr>
        <w:pStyle w:val="FirstParagraph"/>
      </w:pPr>
      <w:r>
        <w:t xml:space="preserve">KO Content Studios should consistently feel:</w:t>
      </w:r>
    </w:p>
    <w:p>
      <w:pPr>
        <w:pStyle w:val="Compact"/>
        <w:numPr>
          <w:ilvl w:val="0"/>
          <w:numId w:val="1008"/>
        </w:numPr>
      </w:pPr>
      <w:r>
        <w:t xml:space="preserve">Professional</w:t>
      </w:r>
    </w:p>
    <w:p>
      <w:pPr>
        <w:pStyle w:val="Compact"/>
        <w:numPr>
          <w:ilvl w:val="0"/>
          <w:numId w:val="1008"/>
        </w:numPr>
      </w:pPr>
      <w:r>
        <w:t xml:space="preserve">Modern</w:t>
      </w:r>
    </w:p>
    <w:p>
      <w:pPr>
        <w:pStyle w:val="Compact"/>
        <w:numPr>
          <w:ilvl w:val="0"/>
          <w:numId w:val="1008"/>
        </w:numPr>
      </w:pPr>
      <w:r>
        <w:t xml:space="preserve">Strategic</w:t>
      </w:r>
    </w:p>
    <w:p>
      <w:pPr>
        <w:pStyle w:val="Compact"/>
        <w:numPr>
          <w:ilvl w:val="0"/>
          <w:numId w:val="1008"/>
        </w:numPr>
      </w:pPr>
      <w:r>
        <w:t xml:space="preserve">Clear</w:t>
      </w:r>
    </w:p>
    <w:p>
      <w:pPr>
        <w:pStyle w:val="Compact"/>
        <w:numPr>
          <w:ilvl w:val="0"/>
          <w:numId w:val="1008"/>
        </w:numPr>
      </w:pPr>
      <w:r>
        <w:t xml:space="preserve">Reliable</w:t>
      </w:r>
    </w:p>
    <w:p>
      <w:pPr>
        <w:pStyle w:val="Compact"/>
        <w:numPr>
          <w:ilvl w:val="0"/>
          <w:numId w:val="1008"/>
        </w:numPr>
      </w:pPr>
      <w:r>
        <w:t xml:space="preserve">Creative</w:t>
      </w:r>
    </w:p>
    <w:p>
      <w:pPr>
        <w:pStyle w:val="Compact"/>
        <w:numPr>
          <w:ilvl w:val="0"/>
          <w:numId w:val="1008"/>
        </w:numPr>
      </w:pPr>
      <w:r>
        <w:t xml:space="preserve">Confident</w:t>
      </w:r>
    </w:p>
    <w:p>
      <w:pPr>
        <w:pStyle w:val="Compact"/>
        <w:numPr>
          <w:ilvl w:val="0"/>
          <w:numId w:val="1008"/>
        </w:numPr>
      </w:pPr>
      <w:r>
        <w:t xml:space="preserve">Structured</w:t>
      </w:r>
    </w:p>
    <w:p>
      <w:pPr>
        <w:pStyle w:val="FirstParagraph"/>
      </w:pPr>
      <w:r>
        <w:t xml:space="preserve">The brand should never feel:</w:t>
      </w:r>
    </w:p>
    <w:p>
      <w:pPr>
        <w:pStyle w:val="Compact"/>
        <w:numPr>
          <w:ilvl w:val="0"/>
          <w:numId w:val="1009"/>
        </w:numPr>
      </w:pPr>
      <w:r>
        <w:t xml:space="preserve">Loud</w:t>
      </w:r>
    </w:p>
    <w:p>
      <w:pPr>
        <w:pStyle w:val="Compact"/>
        <w:numPr>
          <w:ilvl w:val="0"/>
          <w:numId w:val="1009"/>
        </w:numPr>
      </w:pPr>
      <w:r>
        <w:t xml:space="preserve">Trend-chasing</w:t>
      </w:r>
    </w:p>
    <w:p>
      <w:pPr>
        <w:pStyle w:val="Compact"/>
        <w:numPr>
          <w:ilvl w:val="0"/>
          <w:numId w:val="1009"/>
        </w:numPr>
      </w:pPr>
      <w:r>
        <w:t xml:space="preserve">Unorganized</w:t>
      </w:r>
    </w:p>
    <w:p>
      <w:pPr>
        <w:pStyle w:val="Compact"/>
        <w:numPr>
          <w:ilvl w:val="0"/>
          <w:numId w:val="1009"/>
        </w:numPr>
      </w:pPr>
      <w:r>
        <w:t xml:space="preserve">Overly playful</w:t>
      </w:r>
    </w:p>
    <w:p>
      <w:pPr>
        <w:pStyle w:val="Compact"/>
        <w:numPr>
          <w:ilvl w:val="0"/>
          <w:numId w:val="1009"/>
        </w:numPr>
      </w:pPr>
      <w:r>
        <w:t xml:space="preserve">Confusing</w:t>
      </w:r>
    </w:p>
    <w:p>
      <w:pPr>
        <w:pStyle w:val="Compact"/>
        <w:numPr>
          <w:ilvl w:val="0"/>
          <w:numId w:val="1009"/>
        </w:numPr>
      </w:pPr>
      <w:r>
        <w:t xml:space="preserve">Corporate and cold</w:t>
      </w:r>
    </w:p>
    <w:p>
      <w:r>
        <w:pict>
          <v:rect style="width:0;height:1.5pt" o:hralign="center" o:hrstd="t" o:hr="t"/>
        </w:pict>
      </w:r>
    </w:p>
    <w:bookmarkEnd w:id="35"/>
    <w:bookmarkStart w:id="38" w:name="logo-meaning"/>
    <w:p>
      <w:pPr>
        <w:pStyle w:val="Heading1"/>
      </w:pPr>
      <w:r>
        <w:t xml:space="preserve">Logo Meaning</w:t>
      </w:r>
    </w:p>
    <w:p>
      <w:pPr>
        <w:pStyle w:val="FirstParagraph"/>
      </w:pPr>
      <w:r>
        <w:t xml:space="preserve">The logo consists of two key elements:</w:t>
      </w:r>
    </w:p>
    <w:bookmarkStart w:id="36" w:name="k"/>
    <w:p>
      <w:pPr>
        <w:pStyle w:val="Heading2"/>
      </w:pPr>
      <w:r>
        <w:t xml:space="preserve">K</w:t>
      </w:r>
    </w:p>
    <w:p>
      <w:pPr>
        <w:pStyle w:val="FirstParagraph"/>
      </w:pPr>
      <w:r>
        <w:t xml:space="preserve">Represents:</w:t>
      </w:r>
    </w:p>
    <w:p>
      <w:pPr>
        <w:pStyle w:val="Compact"/>
        <w:numPr>
          <w:ilvl w:val="0"/>
          <w:numId w:val="1010"/>
        </w:numPr>
      </w:pPr>
      <w:r>
        <w:t xml:space="preserve">Structure</w:t>
      </w:r>
    </w:p>
    <w:p>
      <w:pPr>
        <w:pStyle w:val="Compact"/>
        <w:numPr>
          <w:ilvl w:val="0"/>
          <w:numId w:val="1010"/>
        </w:numPr>
      </w:pPr>
      <w:r>
        <w:t xml:space="preserve">Strength</w:t>
      </w:r>
    </w:p>
    <w:p>
      <w:pPr>
        <w:pStyle w:val="Compact"/>
        <w:numPr>
          <w:ilvl w:val="0"/>
          <w:numId w:val="1010"/>
        </w:numPr>
      </w:pPr>
      <w:r>
        <w:t xml:space="preserve">Clarity</w:t>
      </w:r>
    </w:p>
    <w:p>
      <w:pPr>
        <w:pStyle w:val="Compact"/>
        <w:numPr>
          <w:ilvl w:val="0"/>
          <w:numId w:val="1010"/>
        </w:numPr>
      </w:pPr>
      <w:r>
        <w:t xml:space="preserve">Stability</w:t>
      </w:r>
    </w:p>
    <w:p>
      <w:pPr>
        <w:pStyle w:val="FirstParagraph"/>
      </w:pPr>
      <w:r>
        <w:t xml:space="preserve">The geometric construction reflects strategic thinking and reliability.</w:t>
      </w:r>
    </w:p>
    <w:bookmarkEnd w:id="36"/>
    <w:bookmarkStart w:id="37" w:name="o"/>
    <w:p>
      <w:pPr>
        <w:pStyle w:val="Heading2"/>
      </w:pPr>
      <w:r>
        <w:t xml:space="preserve">O</w:t>
      </w:r>
    </w:p>
    <w:p>
      <w:pPr>
        <w:pStyle w:val="FirstParagraph"/>
      </w:pPr>
      <w:r>
        <w:t xml:space="preserve">Designed as a camera shutter.</w:t>
      </w:r>
    </w:p>
    <w:p>
      <w:pPr>
        <w:pStyle w:val="BodyText"/>
      </w:pPr>
      <w:r>
        <w:t xml:space="preserve">Represents:</w:t>
      </w:r>
    </w:p>
    <w:p>
      <w:pPr>
        <w:pStyle w:val="Compact"/>
        <w:numPr>
          <w:ilvl w:val="0"/>
          <w:numId w:val="1011"/>
        </w:numPr>
      </w:pPr>
      <w:r>
        <w:t xml:space="preserve">Creativity</w:t>
      </w:r>
    </w:p>
    <w:p>
      <w:pPr>
        <w:pStyle w:val="Compact"/>
        <w:numPr>
          <w:ilvl w:val="0"/>
          <w:numId w:val="1011"/>
        </w:numPr>
      </w:pPr>
      <w:r>
        <w:t xml:space="preserve">Photography</w:t>
      </w:r>
    </w:p>
    <w:p>
      <w:pPr>
        <w:pStyle w:val="Compact"/>
        <w:numPr>
          <w:ilvl w:val="0"/>
          <w:numId w:val="1011"/>
        </w:numPr>
      </w:pPr>
      <w:r>
        <w:t xml:space="preserve">Video production</w:t>
      </w:r>
    </w:p>
    <w:p>
      <w:pPr>
        <w:pStyle w:val="Compact"/>
        <w:numPr>
          <w:ilvl w:val="0"/>
          <w:numId w:val="1011"/>
        </w:numPr>
      </w:pPr>
      <w:r>
        <w:t xml:space="preserve">Storytelling</w:t>
      </w:r>
    </w:p>
    <w:p>
      <w:pPr>
        <w:pStyle w:val="Compact"/>
        <w:numPr>
          <w:ilvl w:val="0"/>
          <w:numId w:val="1011"/>
        </w:numPr>
      </w:pPr>
      <w:r>
        <w:t xml:space="preserve">Content creation</w:t>
      </w:r>
    </w:p>
    <w:p>
      <w:pPr>
        <w:pStyle w:val="Compact"/>
        <w:numPr>
          <w:ilvl w:val="0"/>
          <w:numId w:val="1011"/>
        </w:numPr>
      </w:pPr>
      <w:r>
        <w:t xml:space="preserve">Motion</w:t>
      </w:r>
    </w:p>
    <w:p>
      <w:pPr>
        <w:pStyle w:val="FirstParagraph"/>
      </w:pPr>
      <w:r>
        <w:t xml:space="preserve">Together, the symbol communicates the union of strategy and creativity.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logo-usage-rules"/>
    <w:p>
      <w:pPr>
        <w:pStyle w:val="Heading1"/>
      </w:pPr>
      <w:r>
        <w:t xml:space="preserve">Logo Usage Rules</w:t>
      </w:r>
    </w:p>
    <w:p>
      <w:pPr>
        <w:pStyle w:val="FirstParagraph"/>
      </w:pPr>
      <w:r>
        <w:t xml:space="preserve">Always use approved logo versions.</w:t>
      </w:r>
    </w:p>
    <w:p>
      <w:pPr>
        <w:pStyle w:val="BodyText"/>
      </w:pPr>
      <w:r>
        <w:t xml:space="preserve">Approved variations include:</w:t>
      </w:r>
    </w:p>
    <w:p>
      <w:pPr>
        <w:pStyle w:val="Compact"/>
        <w:numPr>
          <w:ilvl w:val="0"/>
          <w:numId w:val="1012"/>
        </w:numPr>
      </w:pPr>
      <w:r>
        <w:t xml:space="preserve">Full logo</w:t>
      </w:r>
    </w:p>
    <w:p>
      <w:pPr>
        <w:pStyle w:val="Compact"/>
        <w:numPr>
          <w:ilvl w:val="0"/>
          <w:numId w:val="1012"/>
        </w:numPr>
      </w:pPr>
      <w:r>
        <w:t xml:space="preserve">Horizontal logo</w:t>
      </w:r>
    </w:p>
    <w:p>
      <w:pPr>
        <w:pStyle w:val="Compact"/>
        <w:numPr>
          <w:ilvl w:val="0"/>
          <w:numId w:val="1012"/>
        </w:numPr>
      </w:pPr>
      <w:r>
        <w:t xml:space="preserve">Monochrome logo</w:t>
      </w:r>
    </w:p>
    <w:p>
      <w:pPr>
        <w:pStyle w:val="Compact"/>
        <w:numPr>
          <w:ilvl w:val="0"/>
          <w:numId w:val="1012"/>
        </w:numPr>
      </w:pPr>
      <w:r>
        <w:t xml:space="preserve">Light version</w:t>
      </w:r>
    </w:p>
    <w:p>
      <w:pPr>
        <w:pStyle w:val="Compact"/>
        <w:numPr>
          <w:ilvl w:val="0"/>
          <w:numId w:val="1012"/>
        </w:numPr>
      </w:pPr>
      <w:r>
        <w:t xml:space="preserve">Dark version</w:t>
      </w:r>
    </w:p>
    <w:bookmarkStart w:id="39" w:name="never"/>
    <w:p>
      <w:pPr>
        <w:pStyle w:val="Heading2"/>
      </w:pPr>
      <w:r>
        <w:t xml:space="preserve">Never</w:t>
      </w:r>
    </w:p>
    <w:p>
      <w:pPr>
        <w:pStyle w:val="Compact"/>
        <w:numPr>
          <w:ilvl w:val="0"/>
          <w:numId w:val="1013"/>
        </w:numPr>
      </w:pPr>
      <w:r>
        <w:t xml:space="preserve">Stretch the logo</w:t>
      </w:r>
    </w:p>
    <w:p>
      <w:pPr>
        <w:pStyle w:val="Compact"/>
        <w:numPr>
          <w:ilvl w:val="0"/>
          <w:numId w:val="1013"/>
        </w:numPr>
      </w:pPr>
      <w:r>
        <w:t xml:space="preserve">Compress the logo</w:t>
      </w:r>
    </w:p>
    <w:p>
      <w:pPr>
        <w:pStyle w:val="Compact"/>
        <w:numPr>
          <w:ilvl w:val="0"/>
          <w:numId w:val="1013"/>
        </w:numPr>
      </w:pPr>
      <w:r>
        <w:t xml:space="preserve">Rotate the logo</w:t>
      </w:r>
    </w:p>
    <w:p>
      <w:pPr>
        <w:pStyle w:val="Compact"/>
        <w:numPr>
          <w:ilvl w:val="0"/>
          <w:numId w:val="1013"/>
        </w:numPr>
      </w:pPr>
      <w:r>
        <w:t xml:space="preserve">Change logo colors</w:t>
      </w:r>
    </w:p>
    <w:p>
      <w:pPr>
        <w:pStyle w:val="Compact"/>
        <w:numPr>
          <w:ilvl w:val="0"/>
          <w:numId w:val="1013"/>
        </w:numPr>
      </w:pPr>
      <w:r>
        <w:t xml:space="preserve">Add gradients</w:t>
      </w:r>
    </w:p>
    <w:p>
      <w:pPr>
        <w:pStyle w:val="Compact"/>
        <w:numPr>
          <w:ilvl w:val="0"/>
          <w:numId w:val="1013"/>
        </w:numPr>
      </w:pPr>
      <w:r>
        <w:t xml:space="preserve">Add shadows</w:t>
      </w:r>
    </w:p>
    <w:p>
      <w:pPr>
        <w:pStyle w:val="Compact"/>
        <w:numPr>
          <w:ilvl w:val="0"/>
          <w:numId w:val="1013"/>
        </w:numPr>
      </w:pPr>
      <w:r>
        <w:t xml:space="preserve">Add effects</w:t>
      </w:r>
    </w:p>
    <w:p>
      <w:pPr>
        <w:pStyle w:val="Compact"/>
        <w:numPr>
          <w:ilvl w:val="0"/>
          <w:numId w:val="1013"/>
        </w:numPr>
      </w:pPr>
      <w:r>
        <w:t xml:space="preserve">Place on low-contrast backgrounds</w:t>
      </w:r>
    </w:p>
    <w:p>
      <w:pPr>
        <w:pStyle w:val="Compact"/>
        <w:numPr>
          <w:ilvl w:val="0"/>
          <w:numId w:val="1013"/>
        </w:numPr>
      </w:pPr>
      <w:r>
        <w:t xml:space="preserve">Alter proportions</w:t>
      </w:r>
    </w:p>
    <w:p>
      <w:pPr>
        <w:pStyle w:val="FirstParagraph"/>
      </w:pPr>
      <w:r>
        <w:t xml:space="preserve">Maintain clear spacing around the logo at all times.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color-system"/>
    <w:p>
      <w:pPr>
        <w:pStyle w:val="Heading1"/>
      </w:pPr>
      <w:r>
        <w:t xml:space="preserve">Color System</w:t>
      </w:r>
    </w:p>
    <w:bookmarkStart w:id="41" w:name="primary-color"/>
    <w:p>
      <w:pPr>
        <w:pStyle w:val="Heading2"/>
      </w:pPr>
      <w:r>
        <w:t xml:space="preserve">Primary Color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#138BC8</w:t>
      </w:r>
    </w:p>
    <w:p>
      <w:pPr>
        <w:pStyle w:val="BodyText"/>
      </w:pPr>
      <w:r>
        <w:t xml:space="preserve">RGB:</w:t>
      </w:r>
      <w:r>
        <w:t xml:space="preserve"> </w:t>
      </w:r>
      <w:r>
        <w:t xml:space="preserve">19, 139, 200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4"/>
        </w:numPr>
      </w:pPr>
      <w:r>
        <w:t xml:space="preserve">Primary brand recognition</w:t>
      </w:r>
    </w:p>
    <w:p>
      <w:pPr>
        <w:pStyle w:val="Compact"/>
        <w:numPr>
          <w:ilvl w:val="0"/>
          <w:numId w:val="1014"/>
        </w:numPr>
      </w:pPr>
      <w:r>
        <w:t xml:space="preserve">Highlights</w:t>
      </w:r>
    </w:p>
    <w:p>
      <w:pPr>
        <w:pStyle w:val="Compact"/>
        <w:numPr>
          <w:ilvl w:val="0"/>
          <w:numId w:val="1014"/>
        </w:numPr>
      </w:pPr>
      <w:r>
        <w:t xml:space="preserve">Buttons</w:t>
      </w:r>
    </w:p>
    <w:p>
      <w:pPr>
        <w:pStyle w:val="Compact"/>
        <w:numPr>
          <w:ilvl w:val="0"/>
          <w:numId w:val="1014"/>
        </w:numPr>
      </w:pPr>
      <w:r>
        <w:t xml:space="preserve">Key visual elements</w:t>
      </w:r>
    </w:p>
    <w:p>
      <w:pPr>
        <w:pStyle w:val="Compact"/>
        <w:numPr>
          <w:ilvl w:val="0"/>
          <w:numId w:val="1014"/>
        </w:numPr>
      </w:pPr>
      <w:r>
        <w:t xml:space="preserve">Headers</w:t>
      </w:r>
    </w:p>
    <w:p>
      <w:r>
        <w:pict>
          <v:rect style="width:0;height:1.5pt" o:hralign="center" o:hrstd="t" o:hr="t"/>
        </w:pict>
      </w:r>
    </w:p>
    <w:bookmarkEnd w:id="41"/>
    <w:bookmarkStart w:id="42" w:name="secondary-color"/>
    <w:p>
      <w:pPr>
        <w:pStyle w:val="Heading2"/>
      </w:pPr>
      <w:r>
        <w:t xml:space="preserve">Secondary Color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#00204F</w:t>
      </w:r>
    </w:p>
    <w:p>
      <w:pPr>
        <w:pStyle w:val="BodyText"/>
      </w:pPr>
      <w:r>
        <w:t xml:space="preserve">RGB:</w:t>
      </w:r>
      <w:r>
        <w:t xml:space="preserve"> </w:t>
      </w:r>
      <w:r>
        <w:t xml:space="preserve">0, 32, 79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5"/>
        </w:numPr>
      </w:pPr>
      <w:r>
        <w:t xml:space="preserve">Backgrounds</w:t>
      </w:r>
    </w:p>
    <w:p>
      <w:pPr>
        <w:pStyle w:val="Compact"/>
        <w:numPr>
          <w:ilvl w:val="0"/>
          <w:numId w:val="1015"/>
        </w:numPr>
      </w:pPr>
      <w:r>
        <w:t xml:space="preserve">Professional layouts</w:t>
      </w:r>
    </w:p>
    <w:p>
      <w:pPr>
        <w:pStyle w:val="Compact"/>
        <w:numPr>
          <w:ilvl w:val="0"/>
          <w:numId w:val="1015"/>
        </w:numPr>
      </w:pPr>
      <w:r>
        <w:t xml:space="preserve">Contrast areas</w:t>
      </w:r>
    </w:p>
    <w:p>
      <w:pPr>
        <w:pStyle w:val="Compact"/>
        <w:numPr>
          <w:ilvl w:val="0"/>
          <w:numId w:val="1015"/>
        </w:numPr>
      </w:pPr>
      <w:r>
        <w:t xml:space="preserve">Navigation elements</w:t>
      </w:r>
    </w:p>
    <w:p>
      <w:r>
        <w:pict>
          <v:rect style="width:0;height:1.5pt" o:hralign="center" o:hrstd="t" o:hr="t"/>
        </w:pict>
      </w:r>
    </w:p>
    <w:bookmarkEnd w:id="42"/>
    <w:bookmarkStart w:id="43" w:name="accent-color"/>
    <w:p>
      <w:pPr>
        <w:pStyle w:val="Heading2"/>
      </w:pPr>
      <w:r>
        <w:t xml:space="preserve">Accent Color</w:t>
      </w:r>
    </w:p>
    <w:p>
      <w:pPr>
        <w:pStyle w:val="FirstParagraph"/>
      </w:pPr>
      <w:r>
        <w:t xml:space="preserve">Hex:</w:t>
      </w:r>
      <w:r>
        <w:t xml:space="preserve"> </w:t>
      </w:r>
      <w:r>
        <w:t xml:space="preserve">#000D20</w:t>
      </w:r>
    </w:p>
    <w:p>
      <w:pPr>
        <w:pStyle w:val="BodyText"/>
      </w:pPr>
      <w:r>
        <w:t xml:space="preserve">RGB:</w:t>
      </w:r>
      <w:r>
        <w:t xml:space="preserve"> </w:t>
      </w:r>
      <w:r>
        <w:t xml:space="preserve">0, 13, 32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16"/>
        </w:numPr>
      </w:pPr>
      <w:r>
        <w:t xml:space="preserve">High-contrast sections</w:t>
      </w:r>
    </w:p>
    <w:p>
      <w:pPr>
        <w:pStyle w:val="Compact"/>
        <w:numPr>
          <w:ilvl w:val="0"/>
          <w:numId w:val="1016"/>
        </w:numPr>
      </w:pPr>
      <w:r>
        <w:t xml:space="preserve">Premium presentation</w:t>
      </w:r>
    </w:p>
    <w:p>
      <w:pPr>
        <w:pStyle w:val="Compact"/>
        <w:numPr>
          <w:ilvl w:val="0"/>
          <w:numId w:val="1016"/>
        </w:numPr>
      </w:pPr>
      <w:r>
        <w:t xml:space="preserve">Depth and hierarchy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typography"/>
    <w:p>
      <w:pPr>
        <w:pStyle w:val="Heading1"/>
      </w:pPr>
      <w:r>
        <w:t xml:space="preserve">Typography</w:t>
      </w:r>
    </w:p>
    <w:bookmarkStart w:id="45" w:name="primary-typeface"/>
    <w:p>
      <w:pPr>
        <w:pStyle w:val="Heading2"/>
      </w:pPr>
      <w:r>
        <w:t xml:space="preserve">Primary Typeface</w:t>
      </w:r>
    </w:p>
    <w:p>
      <w:pPr>
        <w:pStyle w:val="FirstParagraph"/>
      </w:pPr>
      <w:r>
        <w:t xml:space="preserve">Font:</w:t>
      </w:r>
      <w:r>
        <w:t xml:space="preserve"> </w:t>
      </w:r>
      <w:r>
        <w:t xml:space="preserve">Bricolage Grotesque</w:t>
      </w:r>
    </w:p>
    <w:p>
      <w:pPr>
        <w:pStyle w:val="BodyText"/>
      </w:pPr>
      <w:r>
        <w:t xml:space="preserve">Style:</w:t>
      </w:r>
      <w:r>
        <w:t xml:space="preserve"> </w:t>
      </w:r>
      <w:r>
        <w:t xml:space="preserve">Bold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7"/>
        </w:numPr>
      </w:pPr>
      <w:r>
        <w:t xml:space="preserve">Headlines</w:t>
      </w:r>
    </w:p>
    <w:p>
      <w:pPr>
        <w:pStyle w:val="Compact"/>
        <w:numPr>
          <w:ilvl w:val="0"/>
          <w:numId w:val="1017"/>
        </w:numPr>
      </w:pPr>
      <w:r>
        <w:t xml:space="preserve">Hero sections</w:t>
      </w:r>
    </w:p>
    <w:p>
      <w:pPr>
        <w:pStyle w:val="Compact"/>
        <w:numPr>
          <w:ilvl w:val="0"/>
          <w:numId w:val="1017"/>
        </w:numPr>
      </w:pPr>
      <w:r>
        <w:t xml:space="preserve">Campaign titles</w:t>
      </w:r>
    </w:p>
    <w:p>
      <w:pPr>
        <w:pStyle w:val="Compact"/>
        <w:numPr>
          <w:ilvl w:val="0"/>
          <w:numId w:val="1017"/>
        </w:numPr>
      </w:pPr>
      <w:r>
        <w:t xml:space="preserve">Major callouts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18"/>
        </w:numPr>
      </w:pPr>
      <w:r>
        <w:t xml:space="preserve">Strong</w:t>
      </w:r>
    </w:p>
    <w:p>
      <w:pPr>
        <w:pStyle w:val="Compact"/>
        <w:numPr>
          <w:ilvl w:val="0"/>
          <w:numId w:val="1018"/>
        </w:numPr>
      </w:pPr>
      <w:r>
        <w:t xml:space="preserve">Modern</w:t>
      </w:r>
    </w:p>
    <w:p>
      <w:pPr>
        <w:pStyle w:val="Compact"/>
        <w:numPr>
          <w:ilvl w:val="0"/>
          <w:numId w:val="1018"/>
        </w:numPr>
      </w:pPr>
      <w:r>
        <w:t xml:space="preserve">Memorable</w:t>
      </w:r>
    </w:p>
    <w:p>
      <w:pPr>
        <w:pStyle w:val="Compact"/>
        <w:numPr>
          <w:ilvl w:val="0"/>
          <w:numId w:val="1018"/>
        </w:numPr>
      </w:pPr>
      <w:r>
        <w:t xml:space="preserve">Confident</w:t>
      </w:r>
    </w:p>
    <w:p>
      <w:r>
        <w:pict>
          <v:rect style="width:0;height:1.5pt" o:hralign="center" o:hrstd="t" o:hr="t"/>
        </w:pict>
      </w:r>
    </w:p>
    <w:bookmarkEnd w:id="45"/>
    <w:bookmarkStart w:id="46" w:name="secondary-typeface"/>
    <w:p>
      <w:pPr>
        <w:pStyle w:val="Heading2"/>
      </w:pPr>
      <w:r>
        <w:t xml:space="preserve">Secondary Typeface</w:t>
      </w:r>
    </w:p>
    <w:p>
      <w:pPr>
        <w:pStyle w:val="FirstParagraph"/>
      </w:pPr>
      <w:r>
        <w:t xml:space="preserve">Font:</w:t>
      </w:r>
      <w:r>
        <w:t xml:space="preserve"> </w:t>
      </w:r>
      <w:r>
        <w:t xml:space="preserve">Mont</w:t>
      </w:r>
    </w:p>
    <w:p>
      <w:pPr>
        <w:pStyle w:val="BodyText"/>
      </w:pPr>
      <w:r>
        <w:t xml:space="preserve">Style:</w:t>
      </w:r>
      <w:r>
        <w:t xml:space="preserve"> </w:t>
      </w:r>
      <w:r>
        <w:t xml:space="preserve">Regular</w:t>
      </w:r>
    </w:p>
    <w:p>
      <w:pPr>
        <w:pStyle w:val="BodyText"/>
      </w:pPr>
      <w:r>
        <w:t xml:space="preserve">Use for:</w:t>
      </w:r>
    </w:p>
    <w:p>
      <w:pPr>
        <w:pStyle w:val="Compact"/>
        <w:numPr>
          <w:ilvl w:val="0"/>
          <w:numId w:val="1019"/>
        </w:numPr>
      </w:pPr>
      <w:r>
        <w:t xml:space="preserve">Body text</w:t>
      </w:r>
    </w:p>
    <w:p>
      <w:pPr>
        <w:pStyle w:val="Compact"/>
        <w:numPr>
          <w:ilvl w:val="0"/>
          <w:numId w:val="1019"/>
        </w:numPr>
      </w:pPr>
      <w:r>
        <w:t xml:space="preserve">Supporting copy</w:t>
      </w:r>
    </w:p>
    <w:p>
      <w:pPr>
        <w:pStyle w:val="Compact"/>
        <w:numPr>
          <w:ilvl w:val="0"/>
          <w:numId w:val="1019"/>
        </w:numPr>
      </w:pPr>
      <w:r>
        <w:t xml:space="preserve">Descriptions</w:t>
      </w:r>
    </w:p>
    <w:p>
      <w:pPr>
        <w:pStyle w:val="Compact"/>
        <w:numPr>
          <w:ilvl w:val="0"/>
          <w:numId w:val="1019"/>
        </w:numPr>
      </w:pPr>
      <w:r>
        <w:t xml:space="preserve">Long-form content</w:t>
      </w:r>
    </w:p>
    <w:p>
      <w:pPr>
        <w:pStyle w:val="FirstParagraph"/>
      </w:pPr>
      <w:r>
        <w:t xml:space="preserve">Characteristics:</w:t>
      </w:r>
    </w:p>
    <w:p>
      <w:pPr>
        <w:pStyle w:val="Compact"/>
        <w:numPr>
          <w:ilvl w:val="0"/>
          <w:numId w:val="1020"/>
        </w:numPr>
      </w:pPr>
      <w:r>
        <w:t xml:space="preserve">Clean</w:t>
      </w:r>
    </w:p>
    <w:p>
      <w:pPr>
        <w:pStyle w:val="Compact"/>
        <w:numPr>
          <w:ilvl w:val="0"/>
          <w:numId w:val="1020"/>
        </w:numPr>
      </w:pPr>
      <w:r>
        <w:t xml:space="preserve">Readable</w:t>
      </w:r>
    </w:p>
    <w:p>
      <w:pPr>
        <w:pStyle w:val="Compact"/>
        <w:numPr>
          <w:ilvl w:val="0"/>
          <w:numId w:val="1020"/>
        </w:numPr>
      </w:pPr>
      <w:r>
        <w:t xml:space="preserve">Professional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content-style"/>
    <w:p>
      <w:pPr>
        <w:pStyle w:val="Heading1"/>
      </w:pPr>
      <w:r>
        <w:t xml:space="preserve">Content Style</w:t>
      </w:r>
    </w:p>
    <w:bookmarkStart w:id="48" w:name="writing-tone"/>
    <w:p>
      <w:pPr>
        <w:pStyle w:val="Heading2"/>
      </w:pPr>
      <w:r>
        <w:t xml:space="preserve">Writing Tone</w:t>
      </w:r>
    </w:p>
    <w:p>
      <w:pPr>
        <w:pStyle w:val="FirstParagraph"/>
      </w:pPr>
      <w:r>
        <w:t xml:space="preserve">All content should be:</w:t>
      </w:r>
    </w:p>
    <w:p>
      <w:pPr>
        <w:pStyle w:val="Compact"/>
        <w:numPr>
          <w:ilvl w:val="0"/>
          <w:numId w:val="1021"/>
        </w:numPr>
      </w:pPr>
      <w:r>
        <w:t xml:space="preserve">Clear</w:t>
      </w:r>
    </w:p>
    <w:p>
      <w:pPr>
        <w:pStyle w:val="Compact"/>
        <w:numPr>
          <w:ilvl w:val="0"/>
          <w:numId w:val="1021"/>
        </w:numPr>
      </w:pPr>
      <w:r>
        <w:t xml:space="preserve">Helpful</w:t>
      </w:r>
    </w:p>
    <w:p>
      <w:pPr>
        <w:pStyle w:val="Compact"/>
        <w:numPr>
          <w:ilvl w:val="0"/>
          <w:numId w:val="1021"/>
        </w:numPr>
      </w:pPr>
      <w:r>
        <w:t xml:space="preserve">Strategic</w:t>
      </w:r>
    </w:p>
    <w:p>
      <w:pPr>
        <w:pStyle w:val="Compact"/>
        <w:numPr>
          <w:ilvl w:val="0"/>
          <w:numId w:val="1021"/>
        </w:numPr>
      </w:pPr>
      <w:r>
        <w:t xml:space="preserve">Professional</w:t>
      </w:r>
    </w:p>
    <w:p>
      <w:pPr>
        <w:pStyle w:val="Compact"/>
        <w:numPr>
          <w:ilvl w:val="0"/>
          <w:numId w:val="1021"/>
        </w:numPr>
      </w:pPr>
      <w:r>
        <w:t xml:space="preserve">Human</w:t>
      </w:r>
    </w:p>
    <w:p>
      <w:pPr>
        <w:pStyle w:val="Compact"/>
        <w:numPr>
          <w:ilvl w:val="0"/>
          <w:numId w:val="1021"/>
        </w:numPr>
      </w:pPr>
      <w:r>
        <w:t xml:space="preserve">Direct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2"/>
        </w:numPr>
      </w:pPr>
      <w:r>
        <w:t xml:space="preserve">Buzzwords</w:t>
      </w:r>
    </w:p>
    <w:p>
      <w:pPr>
        <w:pStyle w:val="Compact"/>
        <w:numPr>
          <w:ilvl w:val="0"/>
          <w:numId w:val="1022"/>
        </w:numPr>
      </w:pPr>
      <w:r>
        <w:t xml:space="preserve">Overcomplicated language</w:t>
      </w:r>
    </w:p>
    <w:p>
      <w:pPr>
        <w:pStyle w:val="Compact"/>
        <w:numPr>
          <w:ilvl w:val="0"/>
          <w:numId w:val="1022"/>
        </w:numPr>
      </w:pPr>
      <w:r>
        <w:t xml:space="preserve">Excessive hype</w:t>
      </w:r>
    </w:p>
    <w:p>
      <w:pPr>
        <w:pStyle w:val="Compact"/>
        <w:numPr>
          <w:ilvl w:val="0"/>
          <w:numId w:val="1022"/>
        </w:numPr>
      </w:pPr>
      <w:r>
        <w:t xml:space="preserve">Empty marketing claims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essaging-principles"/>
    <w:p>
      <w:pPr>
        <w:pStyle w:val="Heading1"/>
      </w:pPr>
      <w:r>
        <w:t xml:space="preserve">Messaging Principles</w:t>
      </w:r>
    </w:p>
    <w:p>
      <w:pPr>
        <w:pStyle w:val="FirstParagraph"/>
      </w:pPr>
      <w:r>
        <w:t xml:space="preserve">Every message should answer one or more of these questions:</w:t>
      </w:r>
    </w:p>
    <w:p>
      <w:pPr>
        <w:pStyle w:val="Compact"/>
        <w:numPr>
          <w:ilvl w:val="0"/>
          <w:numId w:val="1023"/>
        </w:numPr>
      </w:pPr>
      <w:r>
        <w:t xml:space="preserve">What problem are we solving?</w:t>
      </w:r>
    </w:p>
    <w:p>
      <w:pPr>
        <w:pStyle w:val="Compact"/>
        <w:numPr>
          <w:ilvl w:val="0"/>
          <w:numId w:val="1023"/>
        </w:numPr>
      </w:pPr>
      <w:r>
        <w:t xml:space="preserve">Why does this matter?</w:t>
      </w:r>
    </w:p>
    <w:p>
      <w:pPr>
        <w:pStyle w:val="Compact"/>
        <w:numPr>
          <w:ilvl w:val="0"/>
          <w:numId w:val="1023"/>
        </w:numPr>
      </w:pPr>
      <w:r>
        <w:t xml:space="preserve">What outcome does the client receive?</w:t>
      </w:r>
    </w:p>
    <w:p>
      <w:pPr>
        <w:pStyle w:val="Compact"/>
        <w:numPr>
          <w:ilvl w:val="0"/>
          <w:numId w:val="1023"/>
        </w:numPr>
      </w:pPr>
      <w:r>
        <w:t xml:space="preserve">Why should someone trust us?</w:t>
      </w:r>
    </w:p>
    <w:p>
      <w:pPr>
        <w:pStyle w:val="FirstParagraph"/>
      </w:pPr>
      <w:r>
        <w:t xml:space="preserve">Focus on outcomes over features.</w:t>
      </w:r>
    </w:p>
    <w:p>
      <w:r>
        <w:pict>
          <v:rect style="width:0;height:1.5pt" o:hralign="center" o:hrstd="t" o:hr="t"/>
        </w:pict>
      </w:r>
    </w:p>
    <w:bookmarkEnd w:id="50"/>
    <w:bookmarkStart w:id="51" w:name="visual-style"/>
    <w:p>
      <w:pPr>
        <w:pStyle w:val="Heading1"/>
      </w:pPr>
      <w:r>
        <w:t xml:space="preserve">Visual Style</w:t>
      </w:r>
    </w:p>
    <w:p>
      <w:pPr>
        <w:pStyle w:val="FirstParagraph"/>
      </w:pPr>
      <w:r>
        <w:t xml:space="preserve">Visual assets should be:</w:t>
      </w:r>
    </w:p>
    <w:p>
      <w:pPr>
        <w:pStyle w:val="Compact"/>
        <w:numPr>
          <w:ilvl w:val="0"/>
          <w:numId w:val="1024"/>
        </w:numPr>
      </w:pPr>
      <w:r>
        <w:t xml:space="preserve">Clean</w:t>
      </w:r>
    </w:p>
    <w:p>
      <w:pPr>
        <w:pStyle w:val="Compact"/>
        <w:numPr>
          <w:ilvl w:val="0"/>
          <w:numId w:val="1024"/>
        </w:numPr>
      </w:pPr>
      <w:r>
        <w:t xml:space="preserve">Structured</w:t>
      </w:r>
    </w:p>
    <w:p>
      <w:pPr>
        <w:pStyle w:val="Compact"/>
        <w:numPr>
          <w:ilvl w:val="0"/>
          <w:numId w:val="1024"/>
        </w:numPr>
      </w:pPr>
      <w:r>
        <w:t xml:space="preserve">Minimal</w:t>
      </w:r>
    </w:p>
    <w:p>
      <w:pPr>
        <w:pStyle w:val="Compact"/>
        <w:numPr>
          <w:ilvl w:val="0"/>
          <w:numId w:val="1024"/>
        </w:numPr>
      </w:pPr>
      <w:r>
        <w:t xml:space="preserve">Modern</w:t>
      </w:r>
    </w:p>
    <w:p>
      <w:pPr>
        <w:pStyle w:val="Compact"/>
        <w:numPr>
          <w:ilvl w:val="0"/>
          <w:numId w:val="1024"/>
        </w:numPr>
      </w:pPr>
      <w:r>
        <w:t xml:space="preserve">High contrast</w:t>
      </w:r>
    </w:p>
    <w:p>
      <w:pPr>
        <w:pStyle w:val="Compact"/>
        <w:numPr>
          <w:ilvl w:val="0"/>
          <w:numId w:val="1024"/>
        </w:numPr>
      </w:pPr>
      <w:r>
        <w:t xml:space="preserve">Professional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25"/>
        </w:numPr>
      </w:pPr>
      <w:r>
        <w:t xml:space="preserve">Consistent spacing</w:t>
      </w:r>
    </w:p>
    <w:p>
      <w:pPr>
        <w:pStyle w:val="Compact"/>
        <w:numPr>
          <w:ilvl w:val="0"/>
          <w:numId w:val="1025"/>
        </w:numPr>
      </w:pPr>
      <w:r>
        <w:t xml:space="preserve">Strong hierarchy</w:t>
      </w:r>
    </w:p>
    <w:p>
      <w:pPr>
        <w:pStyle w:val="Compact"/>
        <w:numPr>
          <w:ilvl w:val="0"/>
          <w:numId w:val="1025"/>
        </w:numPr>
      </w:pPr>
      <w:r>
        <w:t xml:space="preserve">Grid-based layouts</w:t>
      </w:r>
    </w:p>
    <w:p>
      <w:pPr>
        <w:pStyle w:val="Compact"/>
        <w:numPr>
          <w:ilvl w:val="0"/>
          <w:numId w:val="1025"/>
        </w:numPr>
      </w:pPr>
      <w:r>
        <w:t xml:space="preserve">Purposeful white space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6"/>
        </w:numPr>
      </w:pPr>
      <w:r>
        <w:t xml:space="preserve">Visual clutter</w:t>
      </w:r>
    </w:p>
    <w:p>
      <w:pPr>
        <w:pStyle w:val="Compact"/>
        <w:numPr>
          <w:ilvl w:val="0"/>
          <w:numId w:val="1026"/>
        </w:numPr>
      </w:pPr>
      <w:r>
        <w:t xml:space="preserve">Excessive decoration</w:t>
      </w:r>
    </w:p>
    <w:p>
      <w:pPr>
        <w:pStyle w:val="Compact"/>
        <w:numPr>
          <w:ilvl w:val="0"/>
          <w:numId w:val="1026"/>
        </w:numPr>
      </w:pPr>
      <w:r>
        <w:t xml:space="preserve">Random color usage</w:t>
      </w:r>
    </w:p>
    <w:p>
      <w:pPr>
        <w:pStyle w:val="Compact"/>
        <w:numPr>
          <w:ilvl w:val="0"/>
          <w:numId w:val="1026"/>
        </w:numPr>
      </w:pPr>
      <w:r>
        <w:t xml:space="preserve">Inconsistent typography</w:t>
      </w:r>
    </w:p>
    <w:p>
      <w:r>
        <w:pict>
          <v:rect style="width:0;height:1.5pt" o:hralign="center" o:hrstd="t" o:hr="t"/>
        </w:pict>
      </w:r>
    </w:p>
    <w:bookmarkEnd w:id="51"/>
    <w:bookmarkStart w:id="52" w:name="social-media-guidelines"/>
    <w:p>
      <w:pPr>
        <w:pStyle w:val="Heading1"/>
      </w:pPr>
      <w:r>
        <w:t xml:space="preserve">Social Media Guidelines</w:t>
      </w:r>
    </w:p>
    <w:p>
      <w:pPr>
        <w:pStyle w:val="FirstParagraph"/>
      </w:pPr>
      <w:r>
        <w:t xml:space="preserve">Social media should reinforce expertise and trust.</w:t>
      </w:r>
    </w:p>
    <w:p>
      <w:pPr>
        <w:pStyle w:val="BodyText"/>
      </w:pPr>
      <w:r>
        <w:t xml:space="preserve">Primary content categories:</w:t>
      </w:r>
    </w:p>
    <w:p>
      <w:pPr>
        <w:pStyle w:val="Compact"/>
        <w:numPr>
          <w:ilvl w:val="0"/>
          <w:numId w:val="1027"/>
        </w:numPr>
      </w:pPr>
      <w:r>
        <w:t xml:space="preserve">Branding</w:t>
      </w:r>
    </w:p>
    <w:p>
      <w:pPr>
        <w:pStyle w:val="Compact"/>
        <w:numPr>
          <w:ilvl w:val="0"/>
          <w:numId w:val="1027"/>
        </w:numPr>
      </w:pPr>
      <w:r>
        <w:t xml:space="preserve">Design systems</w:t>
      </w:r>
    </w:p>
    <w:p>
      <w:pPr>
        <w:pStyle w:val="Compact"/>
        <w:numPr>
          <w:ilvl w:val="0"/>
          <w:numId w:val="1027"/>
        </w:numPr>
      </w:pPr>
      <w:r>
        <w:t xml:space="preserve">Website design</w:t>
      </w:r>
    </w:p>
    <w:p>
      <w:pPr>
        <w:pStyle w:val="Compact"/>
        <w:numPr>
          <w:ilvl w:val="0"/>
          <w:numId w:val="1027"/>
        </w:numPr>
      </w:pPr>
      <w:r>
        <w:t xml:space="preserve">Content strategy</w:t>
      </w:r>
    </w:p>
    <w:p>
      <w:pPr>
        <w:pStyle w:val="Compact"/>
        <w:numPr>
          <w:ilvl w:val="0"/>
          <w:numId w:val="1027"/>
        </w:numPr>
      </w:pPr>
      <w:r>
        <w:t xml:space="preserve">Creative direction</w:t>
      </w:r>
    </w:p>
    <w:p>
      <w:pPr>
        <w:pStyle w:val="Compact"/>
        <w:numPr>
          <w:ilvl w:val="0"/>
          <w:numId w:val="1027"/>
        </w:numPr>
      </w:pPr>
      <w:r>
        <w:t xml:space="preserve">Case studies</w:t>
      </w:r>
    </w:p>
    <w:p>
      <w:pPr>
        <w:pStyle w:val="Compact"/>
        <w:numPr>
          <w:ilvl w:val="0"/>
          <w:numId w:val="1027"/>
        </w:numPr>
      </w:pPr>
      <w:r>
        <w:t xml:space="preserve">Client transformations</w:t>
      </w:r>
    </w:p>
    <w:p>
      <w:pPr>
        <w:pStyle w:val="Compact"/>
        <w:numPr>
          <w:ilvl w:val="0"/>
          <w:numId w:val="1027"/>
        </w:numPr>
      </w:pPr>
      <w:r>
        <w:t xml:space="preserve">Educational content</w:t>
      </w:r>
    </w:p>
    <w:p>
      <w:pPr>
        <w:pStyle w:val="FirstParagraph"/>
      </w:pPr>
      <w:r>
        <w:t xml:space="preserve">Each post should educate, inspire, or demonstrate expertise.</w:t>
      </w:r>
    </w:p>
    <w:p>
      <w:r>
        <w:pict>
          <v:rect style="width:0;height:1.5pt" o:hralign="center" o:hrstd="t" o:hr="t"/>
        </w:pict>
      </w:r>
    </w:p>
    <w:bookmarkEnd w:id="52"/>
    <w:bookmarkStart w:id="53" w:name="brand-promise"/>
    <w:p>
      <w:pPr>
        <w:pStyle w:val="Heading1"/>
      </w:pPr>
      <w:r>
        <w:t xml:space="preserve">Brand Promise</w:t>
      </w:r>
    </w:p>
    <w:p>
      <w:pPr>
        <w:pStyle w:val="FirstParagraph"/>
      </w:pPr>
      <w:r>
        <w:t xml:space="preserve">KO Content Studios helps brands communicate with clarity, present themselves professionally, and build scalable systems that support long-term growth.</w:t>
      </w:r>
    </w:p>
    <w:p>
      <w:pPr>
        <w:pStyle w:val="BodyText"/>
      </w:pPr>
      <w:r>
        <w:t xml:space="preserve">Every design, content asset, and interaction should reinforce this promise.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2026-06-03T07:47:54Z</dcterms:created>
  <dcterms:modified xsi:type="dcterms:W3CDTF">2026-06-03T07:47:54Z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