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1800" w:lineRule="auto"/>
        <w:rPr/>
      </w:pPr>
      <w:r w:rsidDel="00000000" w:rsidR="00000000" w:rsidRPr="00000000">
        <w:rPr>
          <w:rtl w:val="0"/>
        </w:rPr>
        <w:t xml:space="preserve">KO Design System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Visual &amp; Motion Guidelines for KO Content Studio and KO OS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This document defines two connected design systems built on the same KO foundations: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KO Content Studio Website — light, airy, conversion-focused (inspired by modern SaaS marketing sites)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KO OS App — dark, premium "deep navy" workspace, as specified in the KO OS Product &amp; Design Spec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rtl w:val="0"/>
        </w:rPr>
        <w:t xml:space="preserve">Both systems share the same brand DNA — calm confidence, disciplined spacing, restrained colour, and slow, weighted motion — but are tuned for their context: the website sells the story in daylight, the app does the work at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Brand Philosophy (applies to both systems)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KO’s "premium &amp; calm" philosophy means every KO surface — marketing site or product — should feel: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Quietly confident — not noisy, not over-designed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Disciplined — repeatable components, clear hierarchy, consistent spacing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Modern &amp; human — high contrast where it matters, readable typography, subtle motion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One brand, two moods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Website = "Daylight KO" — open, optimistic, sales-forward, light surfaces with KO blue as the hero colour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App = "Night KO" — focused, operational, deep navy surfaces with the same KO blue doing precise, restrained work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that governs everything below: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If everything is the primary colour, nothing is. KO blue (#138BC8) is the single accent that means "act here" — on both the website and the app.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Shared Brand Foundations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2.1 Core brand colours (used across both systems)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38bc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Blue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CTAs, links, active states, focus rings, key brand moments on both site and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Deep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Headlines on the website, navigation/surfaces in the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f7e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Blue — 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state for KO. Hover deepens, never brightens.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d4a95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 Gold (Accent)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#D4A954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premium badges, highlights, "pro" tags, success/founder-tier callouts.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2.2 Typography — one family, two scales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Brand font: Bricolage Bold paired with Montserrat Regular.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44–56px / 700 / 110% — large, hero statements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32–36px / 700 / 120%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22–24px / 600 / 130%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16–18px / 400 / 160%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48px / 700 / 110%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32px / 700 / 120%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22px / 600 / 130%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16px / 400 / 160%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Small / caption (both)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13px / 400–500 / 150%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rtl w:val="0"/>
        </w:rPr>
        <w:t xml:space="preserve">Weight discipline: never use more than 2 font weights in one view (e.g. 700 for headings, 400 for body, 600 reserved for labels/buttons).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2.3 Spacing scale (both systems)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Use only this scale. Don’t invent values.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color w:val="0f7eb8"/>
          <w:sz w:val="20"/>
          <w:szCs w:val="20"/>
          <w:rtl w:val="0"/>
        </w:rPr>
        <w:t xml:space="preserve">4 • 8 • 12 • 16 • 24 • 32 • 40 • 48 • 64 • 80 • 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Group related elements with the smaller values (4–16)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Separate sections/blocks with the larger values (32–96)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Increase spacing between sections, never inside a component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2.4 Motion language (both systems)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One easing, one set of durations, used everywhere: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Easing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cubic-bezier(0.2, 0, 0,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Easing (emphasized, rare)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cubic-bezier(0.2, 0, 0, 1.2) — hero moments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XS — 120ms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 toggles, tiny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 — 160ms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/ focus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 — 220ms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Dropdowns, panel transitions,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 — 320ms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Modals, page-level transitions, hero reveals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4–12px translate — never large 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Deepen colour, add a soft glow / lift — never brighten or bounce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PART A — KO Content Studio Website (Light Mode)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Reference mood: a clean, conversion-focused light SaaS marketing site — generous white space, soft rounded cards, pill-shaped CTAs, large confident headlines, gentle gradients, and restrained colour. KO’s version trades the generic "AI SaaS" feel for KO’s navy + blue + gold premium palette and calmer motion.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A1. Website Colour System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Surface / Page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page background. Keep most of the site on pure white for an "airy" feel.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Section 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#F5F8FB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Alternating section backgrounds (subtle cool-grey-blue) to create rhythm without hard borders.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eaf3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 Blue Wash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#EAF3FA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 backgrounds, feature highlight panels, gentle gradients fading to white.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Heading / 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headlines (H1–H3).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3e4c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#3E4C5E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Paragraph copy, descriptions.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7d8c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Muted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#7D8CA0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Captions, meta info, placeholder text, footer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38bc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/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buttons, links, active nav indicator, icon accents.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f7e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state for primary buttons and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d4a95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Gold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#D4A954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 premium accents — "Featured" badges, star ratings, pricing highlight border.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e3e9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Border / Divider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#E3E9F0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 borders, dividers, input borders.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Cards sit on tinted sections as white surfaces with soft shadow.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A2. Buttons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Primary button (filled)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Rounded-full / pill shape, 14–16px vertical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Deepen colour + 1px lift (translateY -1px) + soft 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 / Pressed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 (translateY +1px), shadow reduces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#BFE0F1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hover/active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2px ring rgba(19,139,200,0.25)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Visible focus ring for accessibility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Secondary button (outline)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#D9E2EC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next to primary CTA, e.g. "Watch demo"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#F5F8FB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#C7D4E2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Subtle fill, no colour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#EAF3FA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#B9CBDD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#A9B6C5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#E3E9F0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Text link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1600"/>
        <w:gridCol w:w="1900"/>
        <w:gridCol w:w="1860"/>
        <w:tblGridChange w:id="0">
          <w:tblGrid>
            <w:gridCol w:w="1600"/>
            <w:gridCol w:w="2400"/>
            <w:gridCol w:w="16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 links, inline links, "Learn more"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Underline fades in (120ms)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Visited (rare)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sparingly — mostly for footer/legal links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  <w:t xml:space="preserve">Shape &amp; sizing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Radius: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rimary/secondary CTAs — 2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px+ radius, matches the reference site’s friendly tone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Height: 48–52px for hero CTAs, 40–44px for nav/secondary buttons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One primary CTA per section — never two competing filled buttons side by side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A3. Cards &amp; Surfaces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 on a tinted section, or #F5F8FB on a white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1px solid #E3E9F0 (optional if shadow is used)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8px 24px rgba(0, 32, 79, 0.06) —  soft, diffuse, never harsh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16–20px (slightly larger than buttons for a "soft" feel)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24–32px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 (interactive cards)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Lift 2–4px, shadow deepens to rgba(0,32,79,0.10), border tints to rgba(19,139,200,0.25)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A4. Layout &amp; Sections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Max content width: 1200–1280px, centred, with 24–32px side padding on smaller viewports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Alternate section backgrounds (#FFFFFF → #F5F8FB → #EAF3FA) to create gentle rhythm down the page — avoids hard dividing lines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Hero section: large H1 in #00204F, supporting text in #3E4C5E, primary + secondary CTA side by side, optional soft gradient/abstract shape in KO Blue at low opacity behind the hero visual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Logos / trust strip: small, greyscale or muted, never competing with the hero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Feature sections: icon (KO Blue, line-style) + H3 + short body, in a 2–3 column grid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Testimonial cards: white card, soft shadow, small avatar, name + role in muted text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Pricing cards: equal-height cards; the recommended/featured tier gets a 2px KO Blue border or a small Gold "Most Popular" badge — not a different background colour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FAQ: simple accordion, KO Blue chevron icon, calm expand/collapse (220ms)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Footer: #00204F background with white/muted text — the one place the deep navy becomes a surface on the website, echoing the app’s dark mode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A5. Website Motion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Hero elements fade + rise in on load (opacity 0→1, translateY 12px→0, 320ms, staggered 80–120ms per element)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On-scroll reveals: fade + 8px rise as sections enter viewport, once only (no re-triggering)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Nav bar: becomes a slightly elevated white bar with soft shadow on scroll (220ms)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Buttons &amp; cards follow the shared motion tokens in section 2.4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PART B — KO OS App (Dark Mode)</w:t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tl w:val="0"/>
        </w:rPr>
        <w:t xml:space="preserve">This system follows the KO OS Product &amp; Design Spec exactly — a dark, premium "deep navy" workspace. KO Blue (#138BC8) remains the single action colour; everything else recedes into calm, layered darkness.</w:t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B1. App Colour System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Backgrounds &amp; surfaces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0d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#000D20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background — the deepest layer. Page canvas behind everything.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16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Surface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#00162E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content surfaces — cards, panels, sidebar.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1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Surface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#001F3D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Elevated surfaces — modals, dropdowns, popovers, active 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Secondary /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#00204F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 backgrounds, deep structural blocks. Not for buttons.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  <w:t xml:space="preserve">Action &amp; accent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680"/>
        <w:gridCol w:w="1605"/>
        <w:gridCol w:w="1785"/>
        <w:gridCol w:w="3210"/>
        <w:tblGridChange w:id="0">
          <w:tblGrid>
            <w:gridCol w:w="1080"/>
            <w:gridCol w:w="1680"/>
            <w:gridCol w:w="1605"/>
            <w:gridCol w:w="1785"/>
            <w:gridCol w:w="3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38bc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(Brand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CTAs, active states, key highlights, focus indicators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f7e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— deeper.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c5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Pressed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1a3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#1A3A4A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Disabled primary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27648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Accent Glow (solid 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rgba(19,139,200,0.15)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Focus rings, active cards, subtle highlights. Use the rgba value, not a solid fill.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Neutrals &amp; text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100"/>
        <w:gridCol w:w="2200"/>
        <w:gridCol w:w="3960"/>
        <w:tblGridChange w:id="0">
          <w:tblGrid>
            <w:gridCol w:w="1100"/>
            <w:gridCol w:w="2100"/>
            <w:gridCol w:w="2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Headings, primary content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a7b6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 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Body copy, descriptions, secondary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6f8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Text 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#6F8599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Placeholders, timestamps, helper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3a465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Border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 and input borders — nearly invisible, just enough separation.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454f5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Divider (approx.)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dividers, table row separators.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sz w:val="18"/>
          <w:szCs w:val="18"/>
          <w:rtl w:val="0"/>
        </w:rPr>
        <w:t xml:space="preserve">Note on rgba swatches: table colours are rendered as solid approximations for print; always implement using the rgba() values shown so transparency works correctly over different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B2. App Buttons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Primary button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Radius 10–12px, used for the single primary action per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#0F7EB8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Deepen + subtle lift (translateY -1px) + low-opacity glow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#0C5F8A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Compress (translateY +1px), glow reduces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#1A3A4A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#6F8599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hover/active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#138BC8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Inline spinner, button width stays fixed (no layout shift)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Secondary button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.017761989343"/>
        <w:gridCol w:w="1995.0266429840144"/>
        <w:gridCol w:w="1330.017761989343"/>
        <w:gridCol w:w="1579.3960923623447"/>
        <w:gridCol w:w="1579.3960923623447"/>
        <w:gridCol w:w="1546.145648312611"/>
        <w:tblGridChange w:id="0">
          <w:tblGrid>
            <w:gridCol w:w="1330.017761989343"/>
            <w:gridCol w:w="1995.0266429840144"/>
            <w:gridCol w:w="1330.017761989343"/>
            <w:gridCol w:w="1579.3960923623447"/>
            <w:gridCol w:w="1579.3960923623447"/>
            <w:gridCol w:w="1546.1456483126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Outer  Glow 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rgba(19,139,200,0.4)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Companion to primary, e.g. "Cancel" / "Regenerate"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rgba(19,139,200,0.08)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rgba(19,139,200,0.4)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Blur radius, 20 #138BC8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rgba(19,139,200,0.15)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rgba(19,139,200,0.4)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#3A4656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3px solid rgba(255,255,255,0.06)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Style w:val="Heading3"/>
        <w:rPr/>
      </w:pPr>
      <w:r w:rsidDel="00000000" w:rsidR="00000000" w:rsidRPr="00000000">
        <w:rPr>
          <w:rtl w:val="0"/>
        </w:rPr>
        <w:t xml:space="preserve">Ghost button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1600"/>
        <w:gridCol w:w="1900"/>
        <w:gridCol w:w="1860"/>
        <w:tblGridChange w:id="0">
          <w:tblGrid>
            <w:gridCol w:w="1600"/>
            <w:gridCol w:w="2400"/>
            <w:gridCol w:w="1600"/>
            <w:gridCol w:w="19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shd w:fill="0020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#A7B6C7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Tertiary actions, table row actions, icon-only buttons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rgba(255,255,255,0.08)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B3. Typography (App)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Brand font: Bricolage Bold paired with Montserrat Regular.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48px / 700 / 110% — page titles, rare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32px / 700 / 120% — section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22px / 600 / 130% — card titles, modal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16px / 400 / 160% — default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13px / 400–500 — labels, meta, timestamps, table headers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B4. Spacing &amp; Layout (App)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Scale: 4, 8, 12, 16, 24, 32, 40, 48, 64 (same as section 2.3)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Sidebar width: ~240px expanded, ~72px collapsed (icons stay anchored, no jumping)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Page shell max width: 1280px on large screens, with 24–32px gutters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Cards: 16–24px internal padding, 16–24px gaps between cards in a grid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B5. Elevation (depth without heavy shadows)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Layering: Base (#000D20) → Surface 1 (#00162E) → Surface 2 (#001F3D) — each step up = "closer to the user"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Borders + glow over shadows: 1px rgba(255,255,255,0.06) borders define edges; rgba(19,139,200,0.15) glow signals interactivity/focus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If a shadow is used at all: single style, very low opacity, e.g. 0 8px 24px rgba(0,0,0,0.35) for modals only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Radius: pick one system — 10–12px for cards, inputs, buttons; 16px for modals/drawers</w:t>
      </w:r>
    </w:p>
    <w:p w:rsidR="00000000" w:rsidDel="00000000" w:rsidP="00000000" w:rsidRDefault="00000000" w:rsidRPr="00000000" w14:paraId="000001C7">
      <w:pPr>
        <w:pStyle w:val="Heading2"/>
        <w:rPr/>
      </w:pPr>
      <w:r w:rsidDel="00000000" w:rsidR="00000000" w:rsidRPr="00000000">
        <w:rPr>
          <w:rtl w:val="0"/>
        </w:rPr>
        <w:t xml:space="preserve">B6. Motion (App-specific notes)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  <w:t xml:space="preserve">Follows the shared motion tokens (section 2.4) plus these app-specific patterns: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Navigation: active item gets a 2px KO Blue indicator bar that slides into place (M, 220ms)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Cards: hover = rgba(19,139,200,0.15) glow + 2–4px elevation shift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Inputs: focus = accent glow ring + 1px border brighten; validation = colour + fade-in helper text, never shake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Modals/drawers: open = fade + scale 0.98→1 or slide 12px up (L, 320ms); close = reverse at M, 220ms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Loading answer: pulsing animation on the O in KO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B7. Core App Components (design once, reuse everywhere)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Top app bar (brand switcher, search, profile)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Sidebar navigation (icons + labels, collapse behaviour)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Page shell (max widths, padding, section spacing)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Cards (standard, elevated, interactive, selectable)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Tables (campaign list, library list) — stack as cards on mobile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Status chips: Draft, In review, Approved, Published — use muted-tone backgrounds with text in the matching colour, never solid bright fills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Buttons (primary, secondary, ghost, icon-only) — as defined in B2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Inputs (text, textarea, select, multiselect) with calm focus rings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File upload (drag &amp; drop, progress, error, preview)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Tabs, accordions, modals, drawers, toasts, banners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rtl w:val="0"/>
        </w:rPr>
        <w:t xml:space="preserve">C. Cross-Platform Consistency Rules</w:t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C1. The "one accent" rule</w:t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  <w:t xml:space="preserve">KO Blue (#138BC8) is the only colour allowed to mean "primary action" — on the website AND in the app. If a screen has more than one element competing for attention in KO Blue, remove one.</w:t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C2. Colour roles map (website → app)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white / section tint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Base / Surface 1 / Surface 2 (the "canvas")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#00204F 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#00204F nav &amp; structural 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#3E4C5E 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#A7B6C7 secondary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#138BC8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#138BC8 primary action — identical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Website #D4A954 gold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App: reserve for premium/brand-health highlights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C3. Accessibility (both systems)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All text must meet WCAG AA contrast on its surface (#FFFFFF/#F5F8FB for web; #000D20/#00162E/#001F3D for app)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Focus states must always be visible — KO Blue ring/glow, never colour alone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Form errors: plain language, near the field, never colour-only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navigation: logical tab order, visible focus on all interactive elements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1b2733"/>
          <w:sz w:val="22"/>
          <w:szCs w:val="22"/>
          <w:u w:val="none"/>
          <w:shd w:fill="auto" w:val="clear"/>
          <w:vertAlign w:val="baseline"/>
          <w:rtl w:val="0"/>
        </w:rPr>
        <w:t xml:space="preserve">Body text: 1–2 font weights max, comfortable line length, sections + bullets over long paragraphs</w:t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C4. Responsive breakpoints (both systems)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360–430px — sidebar/nav becomes a drawer, single column, stacked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768–1024px — 2-column layouts where appropriate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c" w:space="0" w:sz="4" w:val="single"/>
              <w:left w:color="d9e2ec" w:space="0" w:sz="4" w:val="single"/>
              <w:bottom w:color="d9e2ec" w:space="0" w:sz="4" w:val="single"/>
              <w:right w:color="d9e2e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1280px+ — full multi-column layouts, max content width 1200–1280px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i w:val="1"/>
          <w:iCs w:val="1"/>
          <w:color w:val="6f8599"/>
          <w:rtl w:val="0"/>
        </w:rPr>
        <w:t xml:space="preserve">End of document.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◦"/>
      <w:lvlJc w:val="left"/>
      <w:pPr>
        <w:ind w:left="960" w:hanging="24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color w:val="1b27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38bc8" w:space="4" w:sz="8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00204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00204f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138bc8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Manrope" w:cs="Manrope" w:eastAsia="Manrope" w:hAnsi="Manrope"/>
      <w:b w:val="1"/>
      <w:bCs w:val="1"/>
      <w:i w:val="0"/>
      <w:iCs w:val="0"/>
      <w:smallCaps w:val="0"/>
      <w:strike w:val="0"/>
      <w:color w:val="00204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0" w:before="0" w:line="240" w:lineRule="auto"/>
      <w:ind w:left="0" w:right="0" w:firstLine="0"/>
      <w:jc w:val="left"/>
    </w:pPr>
    <w:rPr>
      <w:rFonts w:ascii="Manrope" w:cs="Manrope" w:eastAsia="Manrope" w:hAnsi="Manrope"/>
      <w:b w:val="0"/>
      <w:bCs w:val="0"/>
      <w:i w:val="0"/>
      <w:iCs w:val="0"/>
      <w:smallCaps w:val="0"/>
      <w:strike w:val="0"/>
      <w:color w:val="6f859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