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56"/>
          <w:szCs w:val="56"/>
        </w:rPr>
        <w:t xml:space="preserve">PiggyBank Protocol</w:t>
      </w:r>
    </w:p>
    <w:p>
      <w:pPr>
        <w:spacing w:after="100" w:before="200"/>
        <w:jc w:val="center"/>
      </w:pPr>
      <w:r>
        <w:rPr>
          <w:color w:val="555555"/>
          <w:sz w:val="28"/>
          <w:szCs w:val="28"/>
        </w:rPr>
        <w:t xml:space="preserve">Automated, Discipline-Enforcing Savings on Electroneum</w:t>
      </w:r>
    </w:p>
    <w:p>
      <w:pPr>
        <w:spacing w:before="100"/>
        <w:jc w:val="center"/>
      </w:pPr>
      <w:r>
        <w:rPr>
          <w:color w:val="888888"/>
          <w:sz w:val="22"/>
          <w:szCs w:val="22"/>
        </w:rPr>
        <w:t xml:space="preserve">Product Requirements Document — Version 1.0</w:t>
      </w:r>
    </w:p>
    <w:p>
      <w:pPr>
        <w:spacing w:before="60"/>
        <w:jc w:val="center"/>
      </w:pPr>
      <w:r>
        <w:rPr>
          <w:color w:val="888888"/>
          <w:sz w:val="20"/>
          <w:szCs w:val="20"/>
        </w:rPr>
        <w:t xml:space="preserve">Status: Draft for build</w:t>
      </w:r>
    </w:p>
    <w:p>
      <w:r>
        <w:br w:type="page"/>
      </w:r>
    </w:p>
    <w:p>
      <w:pPr>
        <w:pStyle w:val="Heading1"/>
        <w:spacing w:after="200" w:before="400"/>
      </w:pPr>
      <w:r>
        <w:t xml:space="preserve">1. Overview</w:t>
      </w:r>
    </w:p>
    <w:p>
      <w:pPr>
        <w:pStyle w:val="Heading2"/>
        <w:spacing w:after="150" w:before="300"/>
      </w:pPr>
      <w:r>
        <w:t xml:space="preserve">1.1 Problem statement</w:t>
      </w:r>
    </w:p>
    <w:p>
      <w:pPr>
        <w:spacing w:after="150"/>
      </w:pPr>
      <w:r>
        <w:t xml:space="preserve">Everyday savers struggle to save consistently without external structure. Manual saving is easy to skip, and existing on-chain savings tools rarely combine automated recurring deduction with a hard commitment mechanism. PiggyBank Protocol solves this by letting users pre-commit to a savings schedule and target amount, then automatically enforcing that schedule via smart contract, with penalties for missed payments that reinforce — rather than punish away — the habit.</w:t>
      </w:r>
    </w:p>
    <w:p>
      <w:pPr>
        <w:pStyle w:val="Heading2"/>
        <w:spacing w:after="150" w:before="300"/>
      </w:pPr>
      <w:r>
        <w:t xml:space="preserve">1.2 Product summary</w:t>
      </w:r>
    </w:p>
    <w:p>
      <w:pPr>
        <w:spacing w:after="150"/>
      </w:pPr>
      <w:r>
        <w:t xml:space="preserve">PiggyBank is a smart-contract-based savings protocol on the Electroneum chain (EVM-compatible). A user creates a savings plan with a target amount (goal) and a cadence (daily, weekly, or monthly). The user grants the contract a token approval sized to cover the full goal plus the maximum possible penalty exposure. The contract then automatically deducts funds from the user's wallet on schedule — driven by the team's cron/Chainlink Automation infrastructure, with a permissionless fallback that anyone (including incentivized bots) can call. Funds are locked in escrow until the plan's deadline. Missed payments accrue a fee; there is no cap on how many rounds can be missed and caught up. Users may exit early via emergency withdrawal, paying a penalty fee fixed at plan creation. Version 2 will route idle escrowed funds into a low-risk yield-generating protocol on Electroneum.</w:t>
      </w:r>
    </w:p>
    <w:p>
      <w:pPr>
        <w:pStyle w:val="Heading2"/>
        <w:spacing w:after="150" w:before="300"/>
      </w:pPr>
      <w:r>
        <w:t xml:space="preserve">1.3 Goals</w:t>
      </w:r>
    </w:p>
    <w:p>
      <w:pPr>
        <w:pStyle w:val="ListParagraph"/>
        <w:numPr>
          <w:ilvl w:val="0"/>
          <w:numId w:val="2"/>
        </w:numPr>
        <w:spacing w:after="60"/>
      </w:pPr>
      <w:r>
        <w:t xml:space="preserve">Enforce consistent, automated saving behavior through locked funds and a permissionless, always-triggerable deduction mechanism.</w:t>
      </w:r>
    </w:p>
    <w:p>
      <w:pPr>
        <w:pStyle w:val="ListParagraph"/>
        <w:numPr>
          <w:ilvl w:val="0"/>
          <w:numId w:val="2"/>
        </w:numPr>
        <w:spacing w:after="60"/>
      </w:pPr>
      <w:r>
        <w:t xml:space="preserve">Make the on-chain mechanics simple and auditable in v1 (no yield integration yet) to minimize attack surface while unaudited.</w:t>
      </w:r>
    </w:p>
    <w:p>
      <w:pPr>
        <w:pStyle w:val="ListParagraph"/>
        <w:numPr>
          <w:ilvl w:val="0"/>
          <w:numId w:val="2"/>
        </w:numPr>
        <w:spacing w:after="60"/>
      </w:pPr>
      <w:r>
        <w:t xml:space="preserve">Build the accounting/ledger layer separately from the custody layer, so v2 can redirect idle funds to a yield vault without a full rewrite.</w:t>
      </w:r>
    </w:p>
    <w:p>
      <w:pPr>
        <w:pStyle w:val="ListParagraph"/>
        <w:numPr>
          <w:ilvl w:val="0"/>
          <w:numId w:val="2"/>
        </w:numPr>
        <w:spacing w:after="60"/>
      </w:pPr>
      <w:r>
        <w:t xml:space="preserve">Keep the fee and approval model self-contained: the user's one-time approval is guaranteed sufficient to cover the full goal plus worst-case missed-round fees — deduction can never fail due to insufficient approval.</w:t>
      </w:r>
    </w:p>
    <w:p>
      <w:pPr>
        <w:pStyle w:val="Heading2"/>
        <w:spacing w:after="150" w:before="300"/>
      </w:pPr>
      <w:r>
        <w:t xml:space="preserve">1.4 Non-goals (v1)</w:t>
      </w:r>
    </w:p>
    <w:p>
      <w:pPr>
        <w:pStyle w:val="ListParagraph"/>
        <w:numPr>
          <w:ilvl w:val="0"/>
          <w:numId w:val="2"/>
        </w:numPr>
        <w:spacing w:after="60"/>
      </w:pPr>
      <w:r>
        <w:t xml:space="preserve">No yield generation or integration with any external lending/yield protocol (planned for v2).</w:t>
      </w:r>
    </w:p>
    <w:p>
      <w:pPr>
        <w:pStyle w:val="ListParagraph"/>
        <w:numPr>
          <w:ilvl w:val="0"/>
          <w:numId w:val="2"/>
        </w:numPr>
        <w:spacing w:after="60"/>
      </w:pPr>
      <w:r>
        <w:t xml:space="preserve">No formal smart contract audit (explicitly out of scope for this phase — see Section 8, Risks).</w:t>
      </w:r>
    </w:p>
    <w:p>
      <w:pPr>
        <w:pStyle w:val="ListParagraph"/>
        <w:numPr>
          <w:ilvl w:val="0"/>
          <w:numId w:val="2"/>
        </w:numPr>
        <w:spacing w:after="60"/>
      </w:pPr>
      <w:r>
        <w:t xml:space="preserve">No cross-chain functionality — Electroneum only.</w:t>
      </w:r>
    </w:p>
    <w:p>
      <w:pPr>
        <w:pStyle w:val="ListParagraph"/>
        <w:numPr>
          <w:ilvl w:val="0"/>
          <w:numId w:val="2"/>
        </w:numPr>
        <w:spacing w:after="60"/>
      </w:pPr>
      <w:r>
        <w:t xml:space="preserve">No partial emergency withdrawal in v1 — emergency withdrawal closes the plan (open question flagged in Section 5.6; confirm before build if partial support is desired later).</w:t>
      </w:r>
    </w:p>
    <w:p>
      <w:pPr>
        <w:pStyle w:val="Heading1"/>
        <w:spacing w:after="200" w:before="400"/>
      </w:pPr>
      <w:r>
        <w:t xml:space="preserve">2. Users &amp; Use Cases</w:t>
      </w:r>
    </w:p>
    <w:p>
      <w:pPr>
        <w:pStyle w:val="Heading2"/>
        <w:spacing w:after="150" w:before="300"/>
      </w:pPr>
      <w:r>
        <w:t xml:space="preserve">2.1 Primary user</w:t>
      </w:r>
    </w:p>
    <w:p>
      <w:pPr>
        <w:spacing w:after="150"/>
      </w:pPr>
      <w:r>
        <w:t xml:space="preserve">Retail crypto users on Electroneum who want structured, automatic savings with a real commitment device — the psychological and financial cost of missing a round is intentional and is core to the product's value proposition, not a bug to be minimized.</w:t>
      </w:r>
    </w:p>
    <w:p>
      <w:pPr>
        <w:pStyle w:val="Heading2"/>
        <w:spacing w:after="150" w:before="300"/>
      </w:pPr>
      <w:r>
        <w:t xml:space="preserve">2.2 Secondary actors</w:t>
      </w:r>
    </w:p>
    <w:p>
      <w:pPr>
        <w:spacing w:after="100"/>
      </w:pPr>
      <w:r>
        <w:rPr>
          <w:b/>
          <w:bCs/>
        </w:rPr>
        <w:t xml:space="preserve">Keeper / Bot operators: </w:t>
      </w:r>
      <w:r>
        <w:t xml:space="preserve">Third parties who run bots that call the deduct() or claim()-style functions to earn incentive fees, primarily active during the penalty window (see Section 5.3).</w:t>
      </w:r>
    </w:p>
    <w:p>
      <w:pPr>
        <w:spacing w:after="100"/>
      </w:pPr>
      <w:r>
        <w:rPr>
          <w:b/>
          <w:bCs/>
        </w:rPr>
        <w:t xml:space="preserve">Protocol backend (cron / Chainlink Automation): </w:t>
      </w:r>
      <w:r>
        <w:t xml:space="preserve">The team's own automation, which is expected to perform the vast majority of on-time deductions before any bot or user intervention is needed.</w:t>
      </w:r>
    </w:p>
    <w:p>
      <w:pPr>
        <w:spacing w:after="100"/>
      </w:pPr>
      <w:r>
        <w:rPr>
          <w:b/>
          <w:bCs/>
        </w:rPr>
        <w:t xml:space="preserve">Protocol treasury / governance: </w:t>
      </w:r>
      <w:r>
        <w:t xml:space="preserve">Receives all penalty and missed-round fees; sets the default emergency-withdrawal fee percentage for newly created plans.</w:t>
      </w:r>
    </w:p>
    <w:p>
      <w:pPr>
        <w:pStyle w:val="Heading2"/>
        <w:spacing w:after="150" w:before="300"/>
      </w:pPr>
      <w:r>
        <w:t xml:space="preserve">2.3 Core user stories</w:t>
      </w:r>
    </w:p>
    <w:p>
      <w:pPr>
        <w:pStyle w:val="ListParagraph"/>
        <w:numPr>
          <w:ilvl w:val="0"/>
          <w:numId w:val="3"/>
        </w:numPr>
        <w:spacing w:after="60"/>
      </w:pPr>
      <w:r>
        <w:t xml:space="preserve">As a user, I can create a savings plan by specifying a target goal amount and a cadence (daily, weekly, monthly), so that my savings are automated and enforced.</w:t>
      </w:r>
    </w:p>
    <w:p>
      <w:pPr>
        <w:pStyle w:val="ListParagraph"/>
        <w:numPr>
          <w:ilvl w:val="0"/>
          <w:numId w:val="3"/>
        </w:numPr>
        <w:spacing w:after="60"/>
      </w:pPr>
      <w:r>
        <w:t xml:space="preserve">As a user, I approve the exact token amount required (goal + worst-case fee buffer) once at plan creation, so I never need to re-approve mid-plan under normal conditions.</w:t>
      </w:r>
    </w:p>
    <w:p>
      <w:pPr>
        <w:pStyle w:val="ListParagraph"/>
        <w:numPr>
          <w:ilvl w:val="0"/>
          <w:numId w:val="3"/>
        </w:numPr>
        <w:spacing w:after="60"/>
      </w:pPr>
      <w:r>
        <w:t xml:space="preserve">As a user, I cannot withdraw my funds before the plan's deadline, except via emergency withdrawal with a fee, so that I am committed to the full savings term.</w:t>
      </w:r>
    </w:p>
    <w:p>
      <w:pPr>
        <w:pStyle w:val="ListParagraph"/>
        <w:numPr>
          <w:ilvl w:val="0"/>
          <w:numId w:val="3"/>
        </w:numPr>
        <w:spacing w:after="60"/>
      </w:pPr>
      <w:r>
        <w:t xml:space="preserve">As a user, if I miss a round because my wallet lacked funds, I am charged a fee on top of the missed round when it is eventually collected, so that missed payments have a real cost.</w:t>
      </w:r>
    </w:p>
    <w:p>
      <w:pPr>
        <w:pStyle w:val="ListParagraph"/>
        <w:numPr>
          <w:ilvl w:val="0"/>
          <w:numId w:val="3"/>
        </w:numPr>
        <w:spacing w:after="60"/>
      </w:pPr>
      <w:r>
        <w:t xml:space="preserve">As a user, I can trigger my own deduction manually if I want to save on-demand rather than wait for the cron.</w:t>
      </w:r>
    </w:p>
    <w:p>
      <w:pPr>
        <w:pStyle w:val="ListParagraph"/>
        <w:numPr>
          <w:ilvl w:val="0"/>
          <w:numId w:val="3"/>
        </w:numPr>
        <w:spacing w:after="60"/>
      </w:pPr>
      <w:r>
        <w:t xml:space="preserve">As a user, I can perform an emergency withdrawal at any time, paying the fee percentage that was locked in when I created my plan.</w:t>
      </w:r>
    </w:p>
    <w:p>
      <w:pPr>
        <w:pStyle w:val="ListParagraph"/>
        <w:numPr>
          <w:ilvl w:val="0"/>
          <w:numId w:val="3"/>
        </w:numPr>
        <w:spacing w:after="60"/>
      </w:pPr>
      <w:r>
        <w:t xml:space="preserve">As a bot operator, I can call deduct() on any plan that is in a missed/penalty state and be rewarded from the fee collected, so that the network is resilient even if the team's own cron fails.</w:t>
      </w:r>
    </w:p>
    <w:p>
      <w:pPr>
        <w:pStyle w:val="ListParagraph"/>
        <w:numPr>
          <w:ilvl w:val="0"/>
          <w:numId w:val="3"/>
        </w:numPr>
        <w:spacing w:after="60"/>
      </w:pPr>
      <w:r>
        <w:t xml:space="preserve">As anyone, I can call the plan-completion function once a plan has satisfied all rounds, releasing funds to the user, so completion doesn't rely solely on the user's own action.</w:t>
      </w:r>
    </w:p>
    <w:p>
      <w:pPr>
        <w:pStyle w:val="Heading1"/>
        <w:spacing w:after="200" w:before="400"/>
      </w:pPr>
      <w:r>
        <w:t xml:space="preserve">3. System Architecture</w:t>
      </w:r>
    </w:p>
    <w:p>
      <w:pPr>
        <w:pStyle w:val="Heading2"/>
        <w:spacing w:after="150" w:before="300"/>
      </w:pPr>
      <w:r>
        <w:t xml:space="preserve">3.1 High-level components</w:t>
      </w:r>
    </w:p>
    <w:p>
      <w:pPr>
        <w:pStyle w:val="ListParagraph"/>
        <w:numPr>
          <w:ilvl w:val="0"/>
          <w:numId w:val="2"/>
        </w:numPr>
        <w:spacing w:after="60"/>
      </w:pPr>
      <w:r>
        <w:t xml:space="preserve">Smart contract (Solidity, EVM/Electroneum) — core savings logic, escrow, fee accounting.</w:t>
      </w:r>
    </w:p>
    <w:p>
      <w:pPr>
        <w:pStyle w:val="ListParagraph"/>
        <w:numPr>
          <w:ilvl w:val="0"/>
          <w:numId w:val="2"/>
        </w:numPr>
        <w:spacing w:after="60"/>
      </w:pPr>
      <w:r>
        <w:t xml:space="preserve">Off-chain automation layer — cron job / Chainlink Automation (or Gelato) that calls deduct() proactively on schedule.</w:t>
      </w:r>
    </w:p>
    <w:p>
      <w:pPr>
        <w:pStyle w:val="ListParagraph"/>
        <w:numPr>
          <w:ilvl w:val="0"/>
          <w:numId w:val="2"/>
        </w:numPr>
        <w:spacing w:after="60"/>
      </w:pPr>
      <w:r>
        <w:t xml:space="preserve">Permissionless fallback — deduct() and the completion function are callable by any address, enabling bots and users to step in if the primary automation misses a call.</w:t>
      </w:r>
    </w:p>
    <w:p>
      <w:pPr>
        <w:pStyle w:val="ListParagraph"/>
        <w:numPr>
          <w:ilvl w:val="0"/>
          <w:numId w:val="2"/>
        </w:numPr>
        <w:spacing w:after="60"/>
      </w:pPr>
      <w:r>
        <w:t xml:space="preserve">Frontend/dApp — plan creation, approval flow, dashboard, per-round history/receipts, emergency withdrawal UI.</w:t>
      </w:r>
    </w:p>
    <w:p>
      <w:pPr>
        <w:pStyle w:val="ListParagraph"/>
        <w:numPr>
          <w:ilvl w:val="0"/>
          <w:numId w:val="2"/>
        </w:numPr>
        <w:spacing w:after="60"/>
      </w:pPr>
      <w:r>
        <w:t xml:space="preserve">Backend indexer/API — reads on-chain events to power the dashboard and history views without requiring users to query the chain directly.</w:t>
      </w:r>
    </w:p>
    <w:p>
      <w:pPr>
        <w:pStyle w:val="Heading2"/>
        <w:spacing w:after="150" w:before="300"/>
      </w:pPr>
      <w:r>
        <w:t xml:space="preserve">3.2 Escrow model</w:t>
      </w:r>
    </w:p>
    <w:p>
      <w:pPr>
        <w:spacing w:after="150"/>
      </w:pPr>
      <w:r>
        <w:t xml:space="preserve">In v1, deducted funds are held directly by the smart contract (simple custody, no external protocol dependency). The contract's internal ledger tracks each user's plan state and per-round history independently of where funds physically sit. In v2, the custody layer will be pointed at a yield-generating protocol on Electroneum; the accounting layer is designed to require no changes when this happens.</w:t>
      </w:r>
    </w:p>
    <w:p>
      <w:pPr>
        <w:pStyle w:val="Heading2"/>
        <w:spacing w:after="150" w:before="300"/>
      </w:pPr>
      <w:r>
        <w:t xml:space="preserve">3.3 Token approval model</w:t>
      </w:r>
    </w:p>
    <w:p>
      <w:pPr>
        <w:spacing w:after="150"/>
      </w:pPr>
      <w:r>
        <w:t xml:space="preserve">At plan creation, the user grants a single ERC20 approve() call to the contract for exactly:</w:t>
      </w:r>
    </w:p>
    <w:p>
      <w:pPr>
        <w:spacing w:after="200"/>
        <w:ind w:left="500"/>
      </w:pPr>
      <w:r>
        <w:rPr>
          <w:b/>
          <w:bCs/>
          <w:i/>
          <w:iCs/>
        </w:rPr>
        <w:t xml:space="preserve">Approval = G + [0.01 × (G / N) × N]</w:t>
      </w:r>
    </w:p>
    <w:p>
      <w:pPr>
        <w:spacing w:after="150"/>
      </w:pPr>
      <w:r>
        <w:t xml:space="preserve">Where G is the total goal amount and N is the total number of rounds in the plan (derived from plan duration ÷ period length). This simplifies to Approval = 1.01 × G, and is sized to cover the full goal plus the maximum possible fee exposure if every single round in the plan is missed and penalized. This guarantees deduct() can never revert due to insufficient approval, under any missed-payment scenario, for the lifetime of the plan.</w:t>
      </w:r>
    </w:p>
    <w:p>
      <w:pPr>
        <w:pStyle w:val="Heading1"/>
        <w:spacing w:after="200" w:before="400"/>
      </w:pPr>
      <w:r>
        <w:t xml:space="preserve">4. Plan Lifecycle</w:t>
      </w:r>
    </w:p>
    <w:p>
      <w:pPr>
        <w:pStyle w:val="Heading2"/>
        <w:spacing w:after="150" w:before="300"/>
      </w:pPr>
      <w:r>
        <w:t xml:space="preserve">4.1 Plan creation</w:t>
      </w:r>
    </w:p>
    <w:p>
      <w:pPr>
        <w:spacing w:after="150"/>
      </w:pPr>
      <w:r>
        <w:t xml:space="preserve">User selects:</w:t>
      </w:r>
    </w:p>
    <w:p>
      <w:pPr>
        <w:pStyle w:val="ListParagraph"/>
        <w:numPr>
          <w:ilvl w:val="0"/>
          <w:numId w:val="2"/>
        </w:numPr>
        <w:spacing w:after="60"/>
      </w:pPr>
      <w:r>
        <w:t xml:space="preserve">Target goal amount (G)</w:t>
      </w:r>
    </w:p>
    <w:p>
      <w:pPr>
        <w:pStyle w:val="ListParagraph"/>
        <w:numPr>
          <w:ilvl w:val="0"/>
          <w:numId w:val="2"/>
        </w:numPr>
        <w:spacing w:after="60"/>
      </w:pPr>
      <w:r>
        <w:t xml:space="preserve">Cadence: daily, weekly, or monthly</w:t>
      </w:r>
    </w:p>
    <w:p>
      <w:pPr>
        <w:pStyle w:val="ListParagraph"/>
        <w:numPr>
          <w:ilvl w:val="0"/>
          <w:numId w:val="2"/>
        </w:numPr>
        <w:spacing w:after="60"/>
      </w:pPr>
      <w:r>
        <w:t xml:space="preserve">(Derived) number of rounds N, and per-round amount G/N</w:t>
      </w:r>
    </w:p>
    <w:p>
      <w:pPr>
        <w:pStyle w:val="ListParagraph"/>
        <w:numPr>
          <w:ilvl w:val="0"/>
          <w:numId w:val="2"/>
        </w:numPr>
        <w:spacing w:after="60"/>
      </w:pPr>
      <w:r>
        <w:t xml:space="preserve">Emergency withdrawal fee percentage for this plan (default protocol value at time of creation, e.g. 5%; this value is immutable for the plan even if the protocol default later changes)</w:t>
      </w:r>
    </w:p>
    <w:p>
      <w:pPr>
        <w:spacing w:after="150"/>
      </w:pPr>
      <w:r>
        <w:t xml:space="preserve">The contract computes the required approval (1.01 × G), the user submits the approve() transaction, and the plan is created and becomes active with the first round's deadline set.</w:t>
      </w:r>
    </w:p>
    <w:p>
      <w:pPr>
        <w:pStyle w:val="Heading2"/>
        <w:spacing w:after="150" w:before="300"/>
      </w:pPr>
      <w:r>
        <w:t xml:space="preserve">4.2 Deduction cadence and check frequency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rPr>
          <w:tblHeader/>
        </w:trPr>
        <w:tc>
          <w:tcPr>
            <w:tcW w:type="dxa" w:w="3200"/>
            <w:shd w:fill="D9E2F3" w:val="clear"/>
            <w:tcMar>
              <w:top w:type="dxa" w:w="80"/>
              <w:left w:type="dxa" w:w="100"/>
              <w:bottom w:type="dxa" w:w="80"/>
              <w:right w:type="dxa" w:w="100"/>
            </w:tcMar>
          </w:tcPr>
          <w:p>
            <w:r>
              <w:rPr>
                <w:b/>
                <w:bCs/>
              </w:rPr>
              <w:t xml:space="preserve">Plan cadence</w:t>
            </w:r>
          </w:p>
        </w:tc>
        <w:tc>
          <w:tcPr>
            <w:tcW w:type="dxa" w:w="3200"/>
            <w:shd w:fill="D9E2F3" w:val="clear"/>
            <w:tcMar>
              <w:top w:type="dxa" w:w="80"/>
              <w:left w:type="dxa" w:w="100"/>
              <w:bottom w:type="dxa" w:w="80"/>
              <w:right w:type="dxa" w:w="100"/>
            </w:tcMar>
          </w:tcPr>
          <w:p>
            <w:r>
              <w:rPr>
                <w:b/>
                <w:bCs/>
              </w:rPr>
              <w:t xml:space="preserve">Round length</w:t>
            </w:r>
          </w:p>
        </w:tc>
        <w:tc>
          <w:tcPr>
            <w:tcW w:type="dxa" w:w="3240"/>
            <w:shd w:fill="D9E2F3" w:val="clear"/>
            <w:tcMar>
              <w:top w:type="dxa" w:w="80"/>
              <w:left w:type="dxa" w:w="100"/>
              <w:bottom w:type="dxa" w:w="80"/>
              <w:right w:type="dxa" w:w="100"/>
            </w:tcMar>
          </w:tcPr>
          <w:p>
            <w:r>
              <w:rPr>
                <w:b/>
                <w:bCs/>
              </w:rPr>
              <w:t xml:space="preserve">Automation check frequency</w:t>
            </w:r>
          </w:p>
        </w:tc>
      </w:tr>
      <w:tr>
        <w:tc>
          <w:tcPr>
            <w:tcW w:type="dxa" w:w="3200"/>
            <w:tcMar>
              <w:top w:type="dxa" w:w="80"/>
              <w:left w:type="dxa" w:w="100"/>
              <w:bottom w:type="dxa" w:w="80"/>
              <w:right w:type="dxa" w:w="100"/>
            </w:tcMar>
          </w:tcPr>
          <w:p>
            <w:r>
              <w:rPr>
                <w:b w:val="false"/>
                <w:bCs w:val="false"/>
              </w:rPr>
              <w:t xml:space="preserve">Daily</w:t>
            </w:r>
          </w:p>
        </w:tc>
        <w:tc>
          <w:tcPr>
            <w:tcW w:type="dxa" w:w="3200"/>
            <w:tcMar>
              <w:top w:type="dxa" w:w="80"/>
              <w:left w:type="dxa" w:w="100"/>
              <w:bottom w:type="dxa" w:w="80"/>
              <w:right w:type="dxa" w:w="100"/>
            </w:tcMar>
          </w:tcPr>
          <w:p>
            <w:r>
              <w:rPr>
                <w:b w:val="false"/>
                <w:bCs w:val="false"/>
              </w:rPr>
              <w:t xml:space="preserve">1 day</w:t>
            </w:r>
          </w:p>
        </w:tc>
        <w:tc>
          <w:tcPr>
            <w:tcW w:type="dxa" w:w="3240"/>
            <w:tcMar>
              <w:top w:type="dxa" w:w="80"/>
              <w:left w:type="dxa" w:w="100"/>
              <w:bottom w:type="dxa" w:w="80"/>
              <w:right w:type="dxa" w:w="100"/>
            </w:tcMar>
          </w:tcPr>
          <w:p>
            <w:r>
              <w:rPr>
                <w:b w:val="false"/>
                <w:bCs w:val="false"/>
              </w:rPr>
              <w:t xml:space="preserve">Every 2 hours</w:t>
            </w:r>
          </w:p>
        </w:tc>
      </w:tr>
      <w:tr>
        <w:tc>
          <w:tcPr>
            <w:tcW w:type="dxa" w:w="3200"/>
            <w:tcMar>
              <w:top w:type="dxa" w:w="80"/>
              <w:left w:type="dxa" w:w="100"/>
              <w:bottom w:type="dxa" w:w="80"/>
              <w:right w:type="dxa" w:w="100"/>
            </w:tcMar>
          </w:tcPr>
          <w:p>
            <w:r>
              <w:rPr>
                <w:b w:val="false"/>
                <w:bCs w:val="false"/>
              </w:rPr>
              <w:t xml:space="preserve">Weekly</w:t>
            </w:r>
          </w:p>
        </w:tc>
        <w:tc>
          <w:tcPr>
            <w:tcW w:type="dxa" w:w="3200"/>
            <w:tcMar>
              <w:top w:type="dxa" w:w="80"/>
              <w:left w:type="dxa" w:w="100"/>
              <w:bottom w:type="dxa" w:w="80"/>
              <w:right w:type="dxa" w:w="100"/>
            </w:tcMar>
          </w:tcPr>
          <w:p>
            <w:r>
              <w:rPr>
                <w:b w:val="false"/>
                <w:bCs w:val="false"/>
              </w:rPr>
              <w:t xml:space="preserve">7 days</w:t>
            </w:r>
          </w:p>
        </w:tc>
        <w:tc>
          <w:tcPr>
            <w:tcW w:type="dxa" w:w="3240"/>
            <w:tcMar>
              <w:top w:type="dxa" w:w="80"/>
              <w:left w:type="dxa" w:w="100"/>
              <w:bottom w:type="dxa" w:w="80"/>
              <w:right w:type="dxa" w:w="100"/>
            </w:tcMar>
          </w:tcPr>
          <w:p>
            <w:r>
              <w:rPr>
                <w:b w:val="false"/>
                <w:bCs w:val="false"/>
              </w:rPr>
              <w:t xml:space="preserve">Every 1 day</w:t>
            </w:r>
          </w:p>
        </w:tc>
      </w:tr>
      <w:tr>
        <w:tc>
          <w:tcPr>
            <w:tcW w:type="dxa" w:w="3200"/>
            <w:tcMar>
              <w:top w:type="dxa" w:w="80"/>
              <w:left w:type="dxa" w:w="100"/>
              <w:bottom w:type="dxa" w:w="80"/>
              <w:right w:type="dxa" w:w="100"/>
            </w:tcMar>
          </w:tcPr>
          <w:p>
            <w:r>
              <w:rPr>
                <w:b w:val="false"/>
                <w:bCs w:val="false"/>
              </w:rPr>
              <w:t xml:space="preserve">Monthly</w:t>
            </w:r>
          </w:p>
        </w:tc>
        <w:tc>
          <w:tcPr>
            <w:tcW w:type="dxa" w:w="3200"/>
            <w:tcMar>
              <w:top w:type="dxa" w:w="80"/>
              <w:left w:type="dxa" w:w="100"/>
              <w:bottom w:type="dxa" w:w="80"/>
              <w:right w:type="dxa" w:w="100"/>
            </w:tcMar>
          </w:tcPr>
          <w:p>
            <w:r>
              <w:rPr>
                <w:b w:val="false"/>
                <w:bCs w:val="false"/>
              </w:rPr>
              <w:t xml:space="preserve">~30 days</w:t>
            </w:r>
          </w:p>
        </w:tc>
        <w:tc>
          <w:tcPr>
            <w:tcW w:type="dxa" w:w="3240"/>
            <w:tcMar>
              <w:top w:type="dxa" w:w="80"/>
              <w:left w:type="dxa" w:w="100"/>
              <w:bottom w:type="dxa" w:w="80"/>
              <w:right w:type="dxa" w:w="100"/>
            </w:tcMar>
          </w:tcPr>
          <w:p>
            <w:r>
              <w:rPr>
                <w:b w:val="false"/>
                <w:bCs w:val="false"/>
              </w:rPr>
              <w:t xml:space="preserve">Every 7 days</w:t>
            </w:r>
          </w:p>
        </w:tc>
      </w:tr>
    </w:tbl>
    <w:p>
      <w:pPr>
        <w:spacing w:after="150"/>
      </w:pPr>
      <w:r>
        <w:t xml:space="preserve"/>
      </w:r>
    </w:p>
    <w:p>
      <w:pPr>
        <w:spacing w:after="150"/>
      </w:pPr>
      <w:r>
        <w:t xml:space="preserve">The check frequency is how often the off-chain automation layer polls/calls deduct() — it does not change the round length itself. More frequent checks relative to the round length increase the chance of catching a successful on-time deduction quickly and narrow the window before a round is marked missed.</w:t>
      </w:r>
    </w:p>
    <w:p>
      <w:pPr>
        <w:pStyle w:val="Heading2"/>
        <w:spacing w:after="150" w:before="300"/>
      </w:pPr>
      <w:r>
        <w:t xml:space="preserve">4.3 Deduct() behavior</w:t>
      </w:r>
    </w:p>
    <w:p>
      <w:pPr>
        <w:spacing w:after="100"/>
      </w:pPr>
      <w:r>
        <w:rPr>
          <w:b/>
          <w:bCs/>
        </w:rPr>
        <w:t xml:space="preserve">Idempotency: </w:t>
      </w:r>
      <w:r>
        <w:t xml:space="preserve">Once a round is marked fulfilled, calling deduct() again before the next round begins is a no-op (reverts or returns early) — a user is never charged twice for the same round.</w:t>
      </w:r>
    </w:p>
    <w:p>
      <w:pPr>
        <w:spacing w:after="100"/>
      </w:pPr>
      <w:r>
        <w:rPr>
          <w:b/>
          <w:bCs/>
        </w:rPr>
        <w:t xml:space="preserve">On-time deduction: </w:t>
      </w:r>
      <w:r>
        <w:t xml:space="preserve">If called while the current round has not yet elapsed and is unfulfilled, a single transferFrom() pulls exactly the round amount (G/N). No fee applies.</w:t>
      </w:r>
    </w:p>
    <w:p>
      <w:pPr>
        <w:spacing w:after="100"/>
      </w:pPr>
      <w:r>
        <w:rPr>
          <w:b/>
          <w:bCs/>
        </w:rPr>
        <w:t xml:space="preserve">Missed-round (catch-up) deduction: </w:t>
      </w:r>
      <w:r>
        <w:t xml:space="preserve">If one or more prior rounds elapsed without a successful deduction, the next successful call aggregates: (sum of all missed round amounts) + (sum of the per-round fee for each missed round) + the current round's amount — all pulled in a single transferFrom() call.</w:t>
      </w:r>
    </w:p>
    <w:p>
      <w:pPr>
        <w:spacing w:after="100"/>
      </w:pPr>
      <w:r>
        <w:rPr>
          <w:b/>
          <w:bCs/>
        </w:rPr>
        <w:t xml:space="preserve">Fee amount: </w:t>
      </w:r>
      <w:r>
        <w:t xml:space="preserve">1% of the round amount (G/N), charged per missed round. This exactly matches the per-round share of the approval buffer, guaranteeing the total approval is always sufficient even in the worst case of every round being missed.</w:t>
      </w:r>
    </w:p>
    <w:p>
      <w:pPr>
        <w:spacing w:after="100"/>
      </w:pPr>
      <w:r>
        <w:rPr>
          <w:b/>
          <w:bCs/>
        </w:rPr>
        <w:t xml:space="preserve">Catch-up cap: </w:t>
      </w:r>
      <w:r>
        <w:t xml:space="preserve">None, by design. This is an intentional discipline mechanic — missed rounds and their fees compound without limit, which must be clearly disclosed to the user at plan creation (see Section 6, UX requirements) since the financial exposure grows the longer a user goes unfunded.</w:t>
      </w:r>
    </w:p>
    <w:p>
      <w:pPr>
        <w:spacing w:after="100"/>
      </w:pPr>
      <w:r>
        <w:rPr>
          <w:b/>
          <w:bCs/>
        </w:rPr>
        <w:t xml:space="preserve">Caller: </w:t>
      </w:r>
      <w:r>
        <w:t xml:space="preserve">Permissionless — callable by the protocol's own cron/Chainlink Automation, by the user themselves, or by any third-party bot.</w:t>
      </w:r>
    </w:p>
    <w:p>
      <w:pPr>
        <w:pStyle w:val="Heading2"/>
        <w:spacing w:after="150" w:before="300"/>
      </w:pPr>
      <w:r>
        <w:t xml:space="preserve">4.4 Bot / keeper incentive design</w:t>
      </w:r>
    </w:p>
    <w:p>
      <w:pPr>
        <w:spacing w:after="150"/>
      </w:pPr>
      <w:r>
        <w:t xml:space="preserve">The team's own automation is expected to perform essentially all on-time deductions, since it has first-mover advantage within each round's safe window. Bots are not incentivized to compete during the safe window (no fee is generated by an on-time deduction). Bots become economically relevant only once a round has entered its missed/penalty state — at that point, calling deduct() successfully collects the round's fee, a portion of which is retained as a caller incentive (see Section 5.3 for the specific split). This deliberately routes bot activity to only the penalty window, where they act as a resilience backstop rather than a competitor to the primary cron.</w:t>
      </w:r>
    </w:p>
    <w:p>
      <w:pPr>
        <w:pStyle w:val="Heading2"/>
        <w:spacing w:after="150" w:before="300"/>
      </w:pPr>
      <w:r>
        <w:t xml:space="preserve">4.5 Plan completion</w:t>
      </w:r>
    </w:p>
    <w:p>
      <w:pPr>
        <w:spacing w:after="150"/>
      </w:pPr>
      <w:r>
        <w:t xml:space="preserve">Once all N rounds have been satisfied (whether on-time or via missed-round catch-up), the plan is eligible for completion. A completion/claim function — callable by anyone, following the same permissionless pattern as deduct() — releases the full accumulated savings to the user's wallet and closes the plan.</w:t>
      </w:r>
    </w:p>
    <w:p>
      <w:pPr>
        <w:pStyle w:val="Heading2"/>
        <w:spacing w:after="150" w:before="300"/>
      </w:pPr>
      <w:r>
        <w:t xml:space="preserve">4.6 Emergency withdrawal</w:t>
      </w:r>
    </w:p>
    <w:p>
      <w:pPr>
        <w:pStyle w:val="ListParagraph"/>
        <w:numPr>
          <w:ilvl w:val="0"/>
          <w:numId w:val="2"/>
        </w:numPr>
        <w:spacing w:after="60"/>
      </w:pPr>
      <w:r>
        <w:t xml:space="preserve">Callable by the user at any time during an active plan (does not require reaching the deadline).</w:t>
      </w:r>
    </w:p>
    <w:p>
      <w:pPr>
        <w:pStyle w:val="ListParagraph"/>
        <w:numPr>
          <w:ilvl w:val="0"/>
          <w:numId w:val="2"/>
        </w:numPr>
        <w:spacing w:after="60"/>
      </w:pPr>
      <w:r>
        <w:t xml:space="preserve">Charges the emergency-withdrawal fee percentage that was fixed at this specific plan's creation time — not the protocol's current default.</w:t>
      </w:r>
    </w:p>
    <w:p>
      <w:pPr>
        <w:pStyle w:val="ListParagraph"/>
        <w:numPr>
          <w:ilvl w:val="0"/>
          <w:numId w:val="2"/>
        </w:numPr>
        <w:spacing w:after="60"/>
      </w:pPr>
      <w:r>
        <w:t xml:space="preserve">The protocol-level default emergency-withdrawal fee percentage can be changed by governance/admin going forward, but this change only affects plans created after the change; existing plans are unaffected.</w:t>
      </w:r>
    </w:p>
    <w:p>
      <w:pPr>
        <w:pStyle w:val="ListParagraph"/>
        <w:numPr>
          <w:ilvl w:val="0"/>
          <w:numId w:val="2"/>
        </w:numPr>
        <w:spacing w:after="60"/>
      </w:pPr>
      <w:r>
        <w:t xml:space="preserve">Fee is deducted from the withdrawn balance; the remainder is sent to the user and the plan is closed.</w:t>
      </w:r>
    </w:p>
    <w:p>
      <w:pPr>
        <w:pStyle w:val="ListParagraph"/>
        <w:numPr>
          <w:ilvl w:val="0"/>
          <w:numId w:val="2"/>
        </w:numPr>
        <w:spacing w:after="60"/>
      </w:pPr>
      <w:r>
        <w:t xml:space="preserve">Fee proceeds go to the treasury.</w:t>
      </w:r>
    </w:p>
    <w:p>
      <w:pPr>
        <w:pStyle w:val="Heading1"/>
        <w:spacing w:after="200" w:before="400"/>
      </w:pPr>
      <w:r>
        <w:t xml:space="preserve">5. Fees, Treasury &amp; Accounting</w:t>
      </w:r>
    </w:p>
    <w:p>
      <w:pPr>
        <w:pStyle w:val="Heading2"/>
        <w:spacing w:after="150" w:before="300"/>
      </w:pPr>
      <w:r>
        <w:t xml:space="preserve">5.1 Fee types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1440"/>
      </w:tblGrid>
      <w:tr>
        <w:trPr>
          <w:tblHeader/>
        </w:trPr>
        <w:tc>
          <w:tcPr>
            <w:tcW w:type="dxa" w:w="2400"/>
            <w:shd w:fill="D9E2F3" w:val="clear"/>
            <w:tcMar>
              <w:top w:type="dxa" w:w="80"/>
              <w:left w:type="dxa" w:w="100"/>
              <w:bottom w:type="dxa" w:w="80"/>
              <w:right w:type="dxa" w:w="100"/>
            </w:tcMar>
          </w:tcPr>
          <w:p>
            <w:r>
              <w:rPr>
                <w:b/>
                <w:bCs/>
              </w:rPr>
              <w:t xml:space="preserve">Fee</w:t>
            </w:r>
          </w:p>
        </w:tc>
        <w:tc>
          <w:tcPr>
            <w:tcW w:type="dxa" w:w="3200"/>
            <w:shd w:fill="D9E2F3" w:val="clear"/>
            <w:tcMar>
              <w:top w:type="dxa" w:w="80"/>
              <w:left w:type="dxa" w:w="100"/>
              <w:bottom w:type="dxa" w:w="80"/>
              <w:right w:type="dxa" w:w="100"/>
            </w:tcMar>
          </w:tcPr>
          <w:p>
            <w:r>
              <w:rPr>
                <w:b/>
                <w:bCs/>
              </w:rPr>
              <w:t xml:space="preserve">Trigger</w:t>
            </w:r>
          </w:p>
        </w:tc>
        <w:tc>
          <w:tcPr>
            <w:tcW w:type="dxa" w:w="2600"/>
            <w:shd w:fill="D9E2F3" w:val="clear"/>
            <w:tcMar>
              <w:top w:type="dxa" w:w="80"/>
              <w:left w:type="dxa" w:w="100"/>
              <w:bottom w:type="dxa" w:w="80"/>
              <w:right w:type="dxa" w:w="100"/>
            </w:tcMar>
          </w:tcPr>
          <w:p>
            <w:r>
              <w:rPr>
                <w:b/>
                <w:bCs/>
              </w:rPr>
              <w:t xml:space="preserve">Amount</w:t>
            </w:r>
          </w:p>
        </w:tc>
        <w:tc>
          <w:tcPr>
            <w:tcW w:type="dxa" w:w="1440"/>
            <w:shd w:fill="D9E2F3" w:val="clear"/>
            <w:tcMar>
              <w:top w:type="dxa" w:w="80"/>
              <w:left w:type="dxa" w:w="100"/>
              <w:bottom w:type="dxa" w:w="80"/>
              <w:right w:type="dxa" w:w="100"/>
            </w:tcMar>
          </w:tcPr>
          <w:p>
            <w:r>
              <w:rPr>
                <w:b/>
                <w:bCs/>
              </w:rPr>
              <w:t xml:space="preserve">Recipient</w:t>
            </w:r>
          </w:p>
        </w:tc>
      </w:tr>
      <w:tr>
        <w:tc>
          <w:tcPr>
            <w:tcW w:type="dxa" w:w="2400"/>
            <w:tcMar>
              <w:top w:type="dxa" w:w="80"/>
              <w:left w:type="dxa" w:w="100"/>
              <w:bottom w:type="dxa" w:w="80"/>
              <w:right w:type="dxa" w:w="100"/>
            </w:tcMar>
          </w:tcPr>
          <w:p>
            <w:r>
              <w:rPr>
                <w:b w:val="false"/>
                <w:bCs w:val="false"/>
              </w:rPr>
              <w:t xml:space="preserve">Missed-round fee</w:t>
            </w:r>
          </w:p>
        </w:tc>
        <w:tc>
          <w:tcPr>
            <w:tcW w:type="dxa" w:w="3200"/>
            <w:tcMar>
              <w:top w:type="dxa" w:w="80"/>
              <w:left w:type="dxa" w:w="100"/>
              <w:bottom w:type="dxa" w:w="80"/>
              <w:right w:type="dxa" w:w="100"/>
            </w:tcMar>
          </w:tcPr>
          <w:p>
            <w:r>
              <w:rPr>
                <w:b w:val="false"/>
                <w:bCs w:val="false"/>
              </w:rPr>
              <w:t xml:space="preserve">A round elapses without successful on-time deduction</w:t>
            </w:r>
          </w:p>
        </w:tc>
        <w:tc>
          <w:tcPr>
            <w:tcW w:type="dxa" w:w="2600"/>
            <w:tcMar>
              <w:top w:type="dxa" w:w="80"/>
              <w:left w:type="dxa" w:w="100"/>
              <w:bottom w:type="dxa" w:w="80"/>
              <w:right w:type="dxa" w:w="100"/>
            </w:tcMar>
          </w:tcPr>
          <w:p>
            <w:r>
              <w:rPr>
                <w:b w:val="false"/>
                <w:bCs w:val="false"/>
              </w:rPr>
              <w:t xml:space="preserve">1% of that round's amount (G/N)</w:t>
            </w:r>
          </w:p>
        </w:tc>
        <w:tc>
          <w:tcPr>
            <w:tcW w:type="dxa" w:w="1440"/>
            <w:tcMar>
              <w:top w:type="dxa" w:w="80"/>
              <w:left w:type="dxa" w:w="100"/>
              <w:bottom w:type="dxa" w:w="80"/>
              <w:right w:type="dxa" w:w="100"/>
            </w:tcMar>
          </w:tcPr>
          <w:p>
            <w:r>
              <w:rPr>
                <w:b w:val="false"/>
                <w:bCs w:val="false"/>
              </w:rPr>
              <w:t xml:space="preserve">Treasury (minus keeper incentive share where applicable — see 5.3)</w:t>
            </w:r>
          </w:p>
        </w:tc>
      </w:tr>
      <w:tr>
        <w:tc>
          <w:tcPr>
            <w:tcW w:type="dxa" w:w="2400"/>
            <w:tcMar>
              <w:top w:type="dxa" w:w="80"/>
              <w:left w:type="dxa" w:w="100"/>
              <w:bottom w:type="dxa" w:w="80"/>
              <w:right w:type="dxa" w:w="100"/>
            </w:tcMar>
          </w:tcPr>
          <w:p>
            <w:r>
              <w:rPr>
                <w:b w:val="false"/>
                <w:bCs w:val="false"/>
              </w:rPr>
              <w:t xml:space="preserve">Emergency withdrawal fee</w:t>
            </w:r>
          </w:p>
        </w:tc>
        <w:tc>
          <w:tcPr>
            <w:tcW w:type="dxa" w:w="3200"/>
            <w:tcMar>
              <w:top w:type="dxa" w:w="80"/>
              <w:left w:type="dxa" w:w="100"/>
              <w:bottom w:type="dxa" w:w="80"/>
              <w:right w:type="dxa" w:w="100"/>
            </w:tcMar>
          </w:tcPr>
          <w:p>
            <w:r>
              <w:rPr>
                <w:b w:val="false"/>
                <w:bCs w:val="false"/>
              </w:rPr>
              <w:t xml:space="preserve">User voluntarily exits before deadline</w:t>
            </w:r>
          </w:p>
        </w:tc>
        <w:tc>
          <w:tcPr>
            <w:tcW w:type="dxa" w:w="2600"/>
            <w:tcMar>
              <w:top w:type="dxa" w:w="80"/>
              <w:left w:type="dxa" w:w="100"/>
              <w:bottom w:type="dxa" w:w="80"/>
              <w:right w:type="dxa" w:w="100"/>
            </w:tcMar>
          </w:tcPr>
          <w:p>
            <w:r>
              <w:rPr>
                <w:b w:val="false"/>
                <w:bCs w:val="false"/>
              </w:rPr>
              <w:t xml:space="preserve">Fixed at plan creation, default 5%, customizable per plan</w:t>
            </w:r>
          </w:p>
        </w:tc>
        <w:tc>
          <w:tcPr>
            <w:tcW w:type="dxa" w:w="1440"/>
            <w:tcMar>
              <w:top w:type="dxa" w:w="80"/>
              <w:left w:type="dxa" w:w="100"/>
              <w:bottom w:type="dxa" w:w="80"/>
              <w:right w:type="dxa" w:w="100"/>
            </w:tcMar>
          </w:tcPr>
          <w:p>
            <w:r>
              <w:rPr>
                <w:b w:val="false"/>
                <w:bCs w:val="false"/>
              </w:rPr>
              <w:t xml:space="preserve">Treasury</w:t>
            </w:r>
          </w:p>
        </w:tc>
      </w:tr>
    </w:tbl>
    <w:p>
      <w:pPr>
        <w:spacing w:after="150"/>
      </w:pPr>
      <w:r>
        <w:t xml:space="preserve"/>
      </w:r>
    </w:p>
    <w:p>
      <w:pPr>
        <w:pStyle w:val="Heading2"/>
        <w:spacing w:after="150" w:before="300"/>
      </w:pPr>
      <w:r>
        <w:t xml:space="preserve">5.2 Ledger requirements</w:t>
      </w:r>
    </w:p>
    <w:p>
      <w:pPr>
        <w:spacing w:after="150"/>
      </w:pPr>
      <w:r>
        <w:t xml:space="preserve">The contract's internal accounting must track, per plan, at minimum:</w:t>
      </w:r>
    </w:p>
    <w:p>
      <w:pPr>
        <w:pStyle w:val="ListParagraph"/>
        <w:numPr>
          <w:ilvl w:val="0"/>
          <w:numId w:val="2"/>
        </w:numPr>
        <w:spacing w:after="60"/>
      </w:pPr>
      <w:r>
        <w:t xml:space="preserve">Per-round fulfillment status (fulfilled / missed / pending) — not just an aggregate total, since a lump-sum catch-up payment must be correctly attributed back to individual rounds.</w:t>
      </w:r>
    </w:p>
    <w:p>
      <w:pPr>
        <w:pStyle w:val="ListParagraph"/>
        <w:numPr>
          <w:ilvl w:val="0"/>
          <w:numId w:val="2"/>
        </w:numPr>
        <w:spacing w:after="60"/>
      </w:pPr>
      <w:r>
        <w:t xml:space="preserve">Per-round fee charged, if any, for accurate user-facing history ("Round 3: paid late, fee charged").</w:t>
      </w:r>
    </w:p>
    <w:p>
      <w:pPr>
        <w:pStyle w:val="ListParagraph"/>
        <w:numPr>
          <w:ilvl w:val="0"/>
          <w:numId w:val="2"/>
        </w:numPr>
        <w:spacing w:after="60"/>
      </w:pPr>
      <w:r>
        <w:t xml:space="preserve">Cumulative amount saved toward goal, separate from cumulative fees paid — these must never be conflated in a single running total.</w:t>
      </w:r>
    </w:p>
    <w:p>
      <w:pPr>
        <w:pStyle w:val="Heading2"/>
        <w:spacing w:after="150" w:before="300"/>
      </w:pPr>
      <w:r>
        <w:t xml:space="preserve">5.3 Keeper incentive mechanics</w:t>
      </w:r>
    </w:p>
    <w:p>
      <w:pPr>
        <w:spacing w:after="150"/>
      </w:pPr>
      <w:r>
        <w:t xml:space="preserve">When a bot successfully triggers a missed-round deduct() call, a portion of the collected fee is paid to the calling address as an incentive; the remainder goes to the treasury. The exact split is an implementation parameter to be finalized (e.g., a fixed percentage of the fee, or a fixed small amount) — the requirement is that this incentive is only ever paid out on successful collection, never simply for attempting a call, to avoid incentivizing spam calls against wallets suspected to be empty.</w:t>
      </w:r>
    </w:p>
    <w:p>
      <w:pPr>
        <w:pStyle w:val="Heading2"/>
        <w:spacing w:after="150" w:before="300"/>
      </w:pPr>
      <w:r>
        <w:t xml:space="preserve">5.4 Treasury</w:t>
      </w:r>
    </w:p>
    <w:p>
      <w:pPr>
        <w:spacing w:after="150"/>
      </w:pPr>
      <w:r>
        <w:t xml:space="preserve">All missed-round fees (net of keeper incentive) and all emergency-withdrawal fees accrue to a protocol treasury address, configurable by governance/admin.</w:t>
      </w:r>
    </w:p>
    <w:p>
      <w:pPr>
        <w:pStyle w:val="Heading1"/>
        <w:spacing w:after="200" w:before="400"/>
      </w:pPr>
      <w:r>
        <w:t xml:space="preserve">6. UX &amp; Disclosure Requirements</w:t>
      </w:r>
    </w:p>
    <w:p>
      <w:pPr>
        <w:spacing w:after="150"/>
      </w:pPr>
      <w:r>
        <w:t xml:space="preserve">Because several design decisions in this product are deliberately strict (uncapped catch-up, locked funds, no audit in v1), clear disclosure at the right moments is a functional requirement, not just a nice-to-have.</w:t>
      </w:r>
    </w:p>
    <w:p>
      <w:pPr>
        <w:pStyle w:val="Heading2"/>
        <w:spacing w:after="150" w:before="300"/>
      </w:pPr>
      <w:r>
        <w:t xml:space="preserve">6.1 At plan creation</w:t>
      </w:r>
    </w:p>
    <w:p>
      <w:pPr>
        <w:pStyle w:val="ListParagraph"/>
        <w:numPr>
          <w:ilvl w:val="0"/>
          <w:numId w:val="2"/>
        </w:numPr>
        <w:spacing w:after="60"/>
      </w:pPr>
      <w:r>
        <w:t xml:space="preserve">Explicitly state the total approval amount being requested and what it covers (goal + full missed-round fee buffer).</w:t>
      </w:r>
    </w:p>
    <w:p>
      <w:pPr>
        <w:pStyle w:val="ListParagraph"/>
        <w:numPr>
          <w:ilvl w:val="0"/>
          <w:numId w:val="2"/>
        </w:numPr>
        <w:spacing w:after="60"/>
      </w:pPr>
      <w:r>
        <w:t xml:space="preserve">Explicitly state that funds are locked until the plan deadline, with emergency withdrawal as the only early exit, and show the exact fee percentage that will apply for this specific plan.</w:t>
      </w:r>
    </w:p>
    <w:p>
      <w:pPr>
        <w:pStyle w:val="ListParagraph"/>
        <w:numPr>
          <w:ilvl w:val="0"/>
          <w:numId w:val="2"/>
        </w:numPr>
        <w:spacing w:after="60"/>
      </w:pPr>
      <w:r>
        <w:t xml:space="preserve">Explicitly state that missed rounds compound with no cap — recommend this be shown as a distinct confirmation step (e.g., a checkbox or explicit acknowledgment), not buried in terms text.</w:t>
      </w:r>
    </w:p>
    <w:p>
      <w:pPr>
        <w:pStyle w:val="ListParagraph"/>
        <w:numPr>
          <w:ilvl w:val="0"/>
          <w:numId w:val="2"/>
        </w:numPr>
        <w:spacing w:after="60"/>
      </w:pPr>
      <w:r>
        <w:t xml:space="preserve">State clearly that the smart contract is unaudited in this version (see Section 8).</w:t>
      </w:r>
    </w:p>
    <w:p>
      <w:pPr>
        <w:pStyle w:val="Heading2"/>
        <w:spacing w:after="150" w:before="300"/>
      </w:pPr>
      <w:r>
        <w:t xml:space="preserve">6.2 Ongoing (dashboard)</w:t>
      </w:r>
    </w:p>
    <w:p>
      <w:pPr>
        <w:pStyle w:val="ListParagraph"/>
        <w:numPr>
          <w:ilvl w:val="0"/>
          <w:numId w:val="2"/>
        </w:numPr>
        <w:spacing w:after="60"/>
      </w:pPr>
      <w:r>
        <w:t xml:space="preserve">Per-round history/receipt view: date, status (on-time / missed / caught up), amount, fee charged if any.</w:t>
      </w:r>
    </w:p>
    <w:p>
      <w:pPr>
        <w:pStyle w:val="ListParagraph"/>
        <w:numPr>
          <w:ilvl w:val="0"/>
          <w:numId w:val="2"/>
        </w:numPr>
        <w:spacing w:after="60"/>
      </w:pPr>
      <w:r>
        <w:t xml:space="preserve">Running total saved vs. goal, and running total fees paid, shown as separate figures.</w:t>
      </w:r>
    </w:p>
    <w:p>
      <w:pPr>
        <w:pStyle w:val="ListParagraph"/>
        <w:numPr>
          <w:ilvl w:val="0"/>
          <w:numId w:val="2"/>
        </w:numPr>
        <w:spacing w:after="60"/>
      </w:pPr>
      <w:r>
        <w:t xml:space="preserve">Clear indicator of current round status and time remaining before it's marked missed.</w:t>
      </w:r>
    </w:p>
    <w:p>
      <w:pPr>
        <w:pStyle w:val="Heading2"/>
        <w:spacing w:after="150" w:before="300"/>
      </w:pPr>
      <w:r>
        <w:t xml:space="preserve">6.3 At emergency withdrawal</w:t>
      </w:r>
    </w:p>
    <w:p>
      <w:pPr>
        <w:pStyle w:val="ListParagraph"/>
        <w:numPr>
          <w:ilvl w:val="0"/>
          <w:numId w:val="2"/>
        </w:numPr>
        <w:spacing w:after="60"/>
      </w:pPr>
      <w:r>
        <w:t xml:space="preserve">Show the exact fee amount (in token terms, not just %) before the user confirms.</w:t>
      </w:r>
    </w:p>
    <w:p>
      <w:pPr>
        <w:pStyle w:val="Heading1"/>
        <w:spacing w:after="200" w:before="400"/>
      </w:pPr>
      <w:r>
        <w:t xml:space="preserve">7. Functional Requirements Summary</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140"/>
      </w:tblGrid>
      <w:tr>
        <w:trPr>
          <w:tblHeader/>
        </w:trPr>
        <w:tc>
          <w:tcPr>
            <w:tcW w:type="dxa" w:w="1100"/>
            <w:shd w:fill="D9E2F3" w:val="clear"/>
            <w:tcMar>
              <w:top w:type="dxa" w:w="80"/>
              <w:left w:type="dxa" w:w="100"/>
              <w:bottom w:type="dxa" w:w="80"/>
              <w:right w:type="dxa" w:w="100"/>
            </w:tcMar>
          </w:tcPr>
          <w:p>
            <w:r>
              <w:rPr>
                <w:b/>
                <w:bCs/>
              </w:rPr>
              <w:t xml:space="preserve">ID</w:t>
            </w:r>
          </w:p>
        </w:tc>
        <w:tc>
          <w:tcPr>
            <w:tcW w:type="dxa" w:w="6600"/>
            <w:shd w:fill="D9E2F3" w:val="clear"/>
            <w:tcMar>
              <w:top w:type="dxa" w:w="80"/>
              <w:left w:type="dxa" w:w="100"/>
              <w:bottom w:type="dxa" w:w="80"/>
              <w:right w:type="dxa" w:w="100"/>
            </w:tcMar>
          </w:tcPr>
          <w:p>
            <w:r>
              <w:rPr>
                <w:b/>
                <w:bCs/>
              </w:rPr>
              <w:t xml:space="preserve">Requirement</w:t>
            </w:r>
          </w:p>
        </w:tc>
        <w:tc>
          <w:tcPr>
            <w:tcW w:type="dxa" w:w="1140"/>
            <w:shd w:fill="D9E2F3" w:val="clear"/>
            <w:tcMar>
              <w:top w:type="dxa" w:w="80"/>
              <w:left w:type="dxa" w:w="100"/>
              <w:bottom w:type="dxa" w:w="80"/>
              <w:right w:type="dxa" w:w="100"/>
            </w:tcMar>
          </w:tcPr>
          <w:p>
            <w:r>
              <w:rPr>
                <w:b/>
                <w:bCs/>
              </w:rPr>
              <w:t xml:space="preserve">Priority</w:t>
            </w:r>
          </w:p>
        </w:tc>
      </w:tr>
      <w:tr>
        <w:tc>
          <w:tcPr>
            <w:tcW w:type="dxa" w:w="1100"/>
            <w:tcMar>
              <w:top w:type="dxa" w:w="80"/>
              <w:left w:type="dxa" w:w="100"/>
              <w:bottom w:type="dxa" w:w="80"/>
              <w:right w:type="dxa" w:w="100"/>
            </w:tcMar>
          </w:tcPr>
          <w:p>
            <w:r>
              <w:rPr>
                <w:b w:val="false"/>
                <w:bCs w:val="false"/>
              </w:rPr>
              <w:t xml:space="preserve">FR-1</w:t>
            </w:r>
          </w:p>
        </w:tc>
        <w:tc>
          <w:tcPr>
            <w:tcW w:type="dxa" w:w="6600"/>
            <w:tcMar>
              <w:top w:type="dxa" w:w="80"/>
              <w:left w:type="dxa" w:w="100"/>
              <w:bottom w:type="dxa" w:w="80"/>
              <w:right w:type="dxa" w:w="100"/>
            </w:tcMar>
          </w:tcPr>
          <w:p>
            <w:r>
              <w:rPr>
                <w:b w:val="false"/>
                <w:bCs w:val="false"/>
              </w:rPr>
              <w:t xml:space="preserve">User can create a plan with goal amount + cadence (daily/weekly/monthly)</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FR-2</w:t>
            </w:r>
          </w:p>
        </w:tc>
        <w:tc>
          <w:tcPr>
            <w:tcW w:type="dxa" w:w="6600"/>
            <w:tcMar>
              <w:top w:type="dxa" w:w="80"/>
              <w:left w:type="dxa" w:w="100"/>
              <w:bottom w:type="dxa" w:w="80"/>
              <w:right w:type="dxa" w:w="100"/>
            </w:tcMar>
          </w:tcPr>
          <w:p>
            <w:r>
              <w:rPr>
                <w:b w:val="false"/>
                <w:bCs w:val="false"/>
              </w:rPr>
              <w:t xml:space="preserve">Contract computes and requests correct approval amount (1.01 × G)</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FR-3</w:t>
            </w:r>
          </w:p>
        </w:tc>
        <w:tc>
          <w:tcPr>
            <w:tcW w:type="dxa" w:w="6600"/>
            <w:tcMar>
              <w:top w:type="dxa" w:w="80"/>
              <w:left w:type="dxa" w:w="100"/>
              <w:bottom w:type="dxa" w:w="80"/>
              <w:right w:type="dxa" w:w="100"/>
            </w:tcMar>
          </w:tcPr>
          <w:p>
            <w:r>
              <w:rPr>
                <w:b w:val="false"/>
                <w:bCs w:val="false"/>
              </w:rPr>
              <w:t xml:space="preserve">deduct() is idempotent per round</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FR-4</w:t>
            </w:r>
          </w:p>
        </w:tc>
        <w:tc>
          <w:tcPr>
            <w:tcW w:type="dxa" w:w="6600"/>
            <w:tcMar>
              <w:top w:type="dxa" w:w="80"/>
              <w:left w:type="dxa" w:w="100"/>
              <w:bottom w:type="dxa" w:w="80"/>
              <w:right w:type="dxa" w:w="100"/>
            </w:tcMar>
          </w:tcPr>
          <w:p>
            <w:r>
              <w:rPr>
                <w:b w:val="false"/>
                <w:bCs w:val="false"/>
              </w:rPr>
              <w:t xml:space="preserve">deduct() aggregates missed rounds + fees + current round into a single transferFrom</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FR-5</w:t>
            </w:r>
          </w:p>
        </w:tc>
        <w:tc>
          <w:tcPr>
            <w:tcW w:type="dxa" w:w="6600"/>
            <w:tcMar>
              <w:top w:type="dxa" w:w="80"/>
              <w:left w:type="dxa" w:w="100"/>
              <w:bottom w:type="dxa" w:w="80"/>
              <w:right w:type="dxa" w:w="100"/>
            </w:tcMar>
          </w:tcPr>
          <w:p>
            <w:r>
              <w:rPr>
                <w:b w:val="false"/>
                <w:bCs w:val="false"/>
              </w:rPr>
              <w:t xml:space="preserve">deduct() and completion function are permissionless (callable by any address)</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FR-6</w:t>
            </w:r>
          </w:p>
        </w:tc>
        <w:tc>
          <w:tcPr>
            <w:tcW w:type="dxa" w:w="6600"/>
            <w:tcMar>
              <w:top w:type="dxa" w:w="80"/>
              <w:left w:type="dxa" w:w="100"/>
              <w:bottom w:type="dxa" w:w="80"/>
              <w:right w:type="dxa" w:w="100"/>
            </w:tcMar>
          </w:tcPr>
          <w:p>
            <w:r>
              <w:rPr>
                <w:b w:val="false"/>
                <w:bCs w:val="false"/>
              </w:rPr>
              <w:t xml:space="preserve">Funds locked until deadline except via emergency withdrawal</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FR-7</w:t>
            </w:r>
          </w:p>
        </w:tc>
        <w:tc>
          <w:tcPr>
            <w:tcW w:type="dxa" w:w="6600"/>
            <w:tcMar>
              <w:top w:type="dxa" w:w="80"/>
              <w:left w:type="dxa" w:w="100"/>
              <w:bottom w:type="dxa" w:w="80"/>
              <w:right w:type="dxa" w:w="100"/>
            </w:tcMar>
          </w:tcPr>
          <w:p>
            <w:r>
              <w:rPr>
                <w:b w:val="false"/>
                <w:bCs w:val="false"/>
              </w:rPr>
              <w:t xml:space="preserve">Emergency withdrawal fee fixed per-plan at creation; immutable retroactively</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FR-8</w:t>
            </w:r>
          </w:p>
        </w:tc>
        <w:tc>
          <w:tcPr>
            <w:tcW w:type="dxa" w:w="6600"/>
            <w:tcMar>
              <w:top w:type="dxa" w:w="80"/>
              <w:left w:type="dxa" w:w="100"/>
              <w:bottom w:type="dxa" w:w="80"/>
              <w:right w:type="dxa" w:w="100"/>
            </w:tcMar>
          </w:tcPr>
          <w:p>
            <w:r>
              <w:rPr>
                <w:b w:val="false"/>
                <w:bCs w:val="false"/>
              </w:rPr>
              <w:t xml:space="preserve">Per-round ledger tracking (not just aggregate totals)</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FR-9</w:t>
            </w:r>
          </w:p>
        </w:tc>
        <w:tc>
          <w:tcPr>
            <w:tcW w:type="dxa" w:w="6600"/>
            <w:tcMar>
              <w:top w:type="dxa" w:w="80"/>
              <w:left w:type="dxa" w:w="100"/>
              <w:bottom w:type="dxa" w:w="80"/>
              <w:right w:type="dxa" w:w="100"/>
            </w:tcMar>
          </w:tcPr>
          <w:p>
            <w:r>
              <w:rPr>
                <w:b w:val="false"/>
                <w:bCs w:val="false"/>
              </w:rPr>
              <w:t xml:space="preserve">Keeper incentive paid only on successful fee collection, not on attempt</w:t>
            </w:r>
          </w:p>
        </w:tc>
        <w:tc>
          <w:tcPr>
            <w:tcW w:type="dxa" w:w="1140"/>
            <w:tcMar>
              <w:top w:type="dxa" w:w="80"/>
              <w:left w:type="dxa" w:w="100"/>
              <w:bottom w:type="dxa" w:w="80"/>
              <w:right w:type="dxa" w:w="100"/>
            </w:tcMar>
          </w:tcPr>
          <w:p>
            <w:r>
              <w:rPr>
                <w:b w:val="false"/>
                <w:bCs w:val="false"/>
              </w:rPr>
              <w:t xml:space="preserve">Must</w:t>
            </w:r>
          </w:p>
        </w:tc>
      </w:tr>
      <w:tr>
        <w:tc>
          <w:tcPr>
            <w:tcW w:type="dxa" w:w="1100"/>
            <w:tcMar>
              <w:top w:type="dxa" w:w="80"/>
              <w:left w:type="dxa" w:w="100"/>
              <w:bottom w:type="dxa" w:w="80"/>
              <w:right w:type="dxa" w:w="100"/>
            </w:tcMar>
          </w:tcPr>
          <w:p>
            <w:r>
              <w:rPr>
                <w:b w:val="false"/>
                <w:bCs w:val="false"/>
              </w:rPr>
              <w:t xml:space="preserve">FR-10</w:t>
            </w:r>
          </w:p>
        </w:tc>
        <w:tc>
          <w:tcPr>
            <w:tcW w:type="dxa" w:w="6600"/>
            <w:tcMar>
              <w:top w:type="dxa" w:w="80"/>
              <w:left w:type="dxa" w:w="100"/>
              <w:bottom w:type="dxa" w:w="80"/>
              <w:right w:type="dxa" w:w="100"/>
            </w:tcMar>
          </w:tcPr>
          <w:p>
            <w:r>
              <w:rPr>
                <w:b w:val="false"/>
                <w:bCs w:val="false"/>
              </w:rPr>
              <w:t xml:space="preserve">Protocol-level default emergency fee % adjustable by governance, forward-only</w:t>
            </w:r>
          </w:p>
        </w:tc>
        <w:tc>
          <w:tcPr>
            <w:tcW w:type="dxa" w:w="1140"/>
            <w:tcMar>
              <w:top w:type="dxa" w:w="80"/>
              <w:left w:type="dxa" w:w="100"/>
              <w:bottom w:type="dxa" w:w="80"/>
              <w:right w:type="dxa" w:w="100"/>
            </w:tcMar>
          </w:tcPr>
          <w:p>
            <w:r>
              <w:rPr>
                <w:b w:val="false"/>
                <w:bCs w:val="false"/>
              </w:rPr>
              <w:t xml:space="preserve">Should</w:t>
            </w:r>
          </w:p>
        </w:tc>
      </w:tr>
      <w:tr>
        <w:tc>
          <w:tcPr>
            <w:tcW w:type="dxa" w:w="1100"/>
            <w:tcMar>
              <w:top w:type="dxa" w:w="80"/>
              <w:left w:type="dxa" w:w="100"/>
              <w:bottom w:type="dxa" w:w="80"/>
              <w:right w:type="dxa" w:w="100"/>
            </w:tcMar>
          </w:tcPr>
          <w:p>
            <w:r>
              <w:rPr>
                <w:b w:val="false"/>
                <w:bCs w:val="false"/>
              </w:rPr>
              <w:t xml:space="preserve">FR-11</w:t>
            </w:r>
          </w:p>
        </w:tc>
        <w:tc>
          <w:tcPr>
            <w:tcW w:type="dxa" w:w="6600"/>
            <w:tcMar>
              <w:top w:type="dxa" w:w="80"/>
              <w:left w:type="dxa" w:w="100"/>
              <w:bottom w:type="dxa" w:w="80"/>
              <w:right w:type="dxa" w:w="100"/>
            </w:tcMar>
          </w:tcPr>
          <w:p>
            <w:r>
              <w:rPr>
                <w:b w:val="false"/>
                <w:bCs w:val="false"/>
              </w:rPr>
              <w:t xml:space="preserve">Dashboard / indexer for per-round history and receipts</w:t>
            </w:r>
          </w:p>
        </w:tc>
        <w:tc>
          <w:tcPr>
            <w:tcW w:type="dxa" w:w="1140"/>
            <w:tcMar>
              <w:top w:type="dxa" w:w="80"/>
              <w:left w:type="dxa" w:w="100"/>
              <w:bottom w:type="dxa" w:w="80"/>
              <w:right w:type="dxa" w:w="100"/>
            </w:tcMar>
          </w:tcPr>
          <w:p>
            <w:r>
              <w:rPr>
                <w:b w:val="false"/>
                <w:bCs w:val="false"/>
              </w:rPr>
              <w:t xml:space="preserve">Should</w:t>
            </w:r>
          </w:p>
        </w:tc>
      </w:tr>
      <w:tr>
        <w:tc>
          <w:tcPr>
            <w:tcW w:type="dxa" w:w="1100"/>
            <w:tcMar>
              <w:top w:type="dxa" w:w="80"/>
              <w:left w:type="dxa" w:w="100"/>
              <w:bottom w:type="dxa" w:w="80"/>
              <w:right w:type="dxa" w:w="100"/>
            </w:tcMar>
          </w:tcPr>
          <w:p>
            <w:r>
              <w:rPr>
                <w:b w:val="false"/>
                <w:bCs w:val="false"/>
              </w:rPr>
              <w:t xml:space="preserve">FR-12</w:t>
            </w:r>
          </w:p>
        </w:tc>
        <w:tc>
          <w:tcPr>
            <w:tcW w:type="dxa" w:w="6600"/>
            <w:tcMar>
              <w:top w:type="dxa" w:w="80"/>
              <w:left w:type="dxa" w:w="100"/>
              <w:bottom w:type="dxa" w:w="80"/>
              <w:right w:type="dxa" w:w="100"/>
            </w:tcMar>
          </w:tcPr>
          <w:p>
            <w:r>
              <w:rPr>
                <w:b w:val="false"/>
                <w:bCs w:val="false"/>
              </w:rPr>
              <w:t xml:space="preserve">V2 hook: custody layer abstracted for future yield-vault redirection</w:t>
            </w:r>
          </w:p>
        </w:tc>
        <w:tc>
          <w:tcPr>
            <w:tcW w:type="dxa" w:w="1140"/>
            <w:tcMar>
              <w:top w:type="dxa" w:w="80"/>
              <w:left w:type="dxa" w:w="100"/>
              <w:bottom w:type="dxa" w:w="80"/>
              <w:right w:type="dxa" w:w="100"/>
            </w:tcMar>
          </w:tcPr>
          <w:p>
            <w:r>
              <w:rPr>
                <w:b w:val="false"/>
                <w:bCs w:val="false"/>
              </w:rPr>
              <w:t xml:space="preserve">Should</w:t>
            </w:r>
          </w:p>
        </w:tc>
      </w:tr>
      <w:tr>
        <w:tc>
          <w:tcPr>
            <w:tcW w:type="dxa" w:w="1100"/>
            <w:tcMar>
              <w:top w:type="dxa" w:w="80"/>
              <w:left w:type="dxa" w:w="100"/>
              <w:bottom w:type="dxa" w:w="80"/>
              <w:right w:type="dxa" w:w="100"/>
            </w:tcMar>
          </w:tcPr>
          <w:p>
            <w:r>
              <w:rPr>
                <w:b w:val="false"/>
                <w:bCs w:val="false"/>
              </w:rPr>
              <w:t xml:space="preserve">FR-13</w:t>
            </w:r>
          </w:p>
        </w:tc>
        <w:tc>
          <w:tcPr>
            <w:tcW w:type="dxa" w:w="6600"/>
            <w:tcMar>
              <w:top w:type="dxa" w:w="80"/>
              <w:left w:type="dxa" w:w="100"/>
              <w:bottom w:type="dxa" w:w="80"/>
              <w:right w:type="dxa" w:w="100"/>
            </w:tcMar>
          </w:tcPr>
          <w:p>
            <w:r>
              <w:rPr>
                <w:b w:val="false"/>
                <w:bCs w:val="false"/>
              </w:rPr>
              <w:t xml:space="preserve">Yield integration on Electroneum</w:t>
            </w:r>
          </w:p>
        </w:tc>
        <w:tc>
          <w:tcPr>
            <w:tcW w:type="dxa" w:w="1140"/>
            <w:tcMar>
              <w:top w:type="dxa" w:w="80"/>
              <w:left w:type="dxa" w:w="100"/>
              <w:bottom w:type="dxa" w:w="80"/>
              <w:right w:type="dxa" w:w="100"/>
            </w:tcMar>
          </w:tcPr>
          <w:p>
            <w:r>
              <w:rPr>
                <w:b w:val="false"/>
                <w:bCs w:val="false"/>
              </w:rPr>
              <w:t xml:space="preserve">Won't (v1) — planned v2</w:t>
            </w:r>
          </w:p>
        </w:tc>
      </w:tr>
    </w:tbl>
    <w:p>
      <w:pPr>
        <w:pStyle w:val="Heading1"/>
        <w:spacing w:after="200" w:before="400"/>
      </w:pPr>
      <w:r>
        <w:t xml:space="preserve">8. Risks &amp; Open Considerations</w:t>
      </w:r>
    </w:p>
    <w:p>
      <w:pPr>
        <w:pStyle w:val="Heading2"/>
        <w:spacing w:after="150" w:before="300"/>
      </w:pPr>
      <w:r>
        <w:t xml:space="preserve">8.1 No audit in v1</w:t>
      </w:r>
    </w:p>
    <w:p>
      <w:pPr>
        <w:spacing w:after="150"/>
      </w:pPr>
      <w:r>
        <w:t xml:space="preserve">This is an explicit, accepted product decision for this phase. Given user funds are locked (not just custodied-and-withdrawable), this materially raises the risk of unrecoverable loss if a bug exists. Mitigations to still consider: minimize v1 scope (no yield integration yet, done), run free static-analysis tooling (e.g., Slither) even without a full audit, and ensure emergency withdrawal provides a recourse path if unexpected contract behavior is discovered.</w:t>
      </w:r>
    </w:p>
    <w:p>
      <w:pPr>
        <w:pStyle w:val="Heading2"/>
        <w:spacing w:after="150" w:before="300"/>
      </w:pPr>
      <w:r>
        <w:t xml:space="preserve">8.2 Uncapped catch-up</w:t>
      </w:r>
    </w:p>
    <w:p>
      <w:pPr>
        <w:spacing w:after="150"/>
      </w:pPr>
      <w:r>
        <w:t xml:space="preserve">Confirmed intentional as a discipline-enforcing mechanic. The risk is financial exposure growing unboundedly the longer a wallet goes unfunded, fully mitigated on the approval side (the 1.01×G buffer mathematically covers worst case), but still requires strong UX disclosure so users understand the mechanic before they opt in.</w:t>
      </w:r>
    </w:p>
    <w:p>
      <w:pPr>
        <w:pStyle w:val="Heading2"/>
        <w:spacing w:after="150" w:before="300"/>
      </w:pPr>
      <w:r>
        <w:t xml:space="preserve">8.3 Yield platform (v2, not yet researched)</w:t>
      </w:r>
    </w:p>
    <w:p>
      <w:pPr>
        <w:spacing w:after="150"/>
      </w:pPr>
      <w:r>
        <w:t xml:space="preserve">No specific low-risk yield protocol on Electroneum has been identified yet. This must be researched and vetted (smart contract risk, oracle risk, actual TVL/liquidity, track record) before v2 design begins. Flagged here as a dependency for v2 planning, not a v1 blocker.</w:t>
      </w:r>
    </w:p>
    <w:p>
      <w:pPr>
        <w:pStyle w:val="Heading2"/>
        <w:spacing w:after="150" w:before="300"/>
      </w:pPr>
      <w:r>
        <w:t xml:space="preserve">8.4 Regulatory</w:t>
      </w:r>
    </w:p>
    <w:p>
      <w:pPr>
        <w:spacing w:after="150"/>
      </w:pPr>
      <w:r>
        <w:t xml:space="preserve">A locked-fund savings product, and especially a future yield-bearing version, may carry regulatory classification risk in some jurisdictions (deposit-taking, yield product). Not resolved in this PRD; flagged for legal review before wide launch, particularly before v2.</w:t>
      </w:r>
    </w:p>
    <w:p>
      <w:pPr>
        <w:pStyle w:val="Heading1"/>
        <w:spacing w:after="200" w:before="400"/>
      </w:pPr>
      <w:r>
        <w:t xml:space="preserve">9. Glossary</w:t>
      </w:r>
    </w:p>
    <w:p>
      <w:pPr>
        <w:spacing w:after="100"/>
      </w:pPr>
      <w:r>
        <w:rPr>
          <w:b/>
          <w:bCs/>
        </w:rPr>
        <w:t xml:space="preserve">Plan: </w:t>
      </w:r>
      <w:r>
        <w:t xml:space="preserve">A single user's savings commitment: goal amount, cadence, rounds, deadline.</w:t>
      </w:r>
    </w:p>
    <w:p>
      <w:pPr>
        <w:spacing w:after="100"/>
      </w:pPr>
      <w:r>
        <w:rPr>
          <w:b/>
          <w:bCs/>
        </w:rPr>
        <w:t xml:space="preserve">Round: </w:t>
      </w:r>
      <w:r>
        <w:t xml:space="preserve">One period within a plan (one day, one week, or one month) with its own deduction deadline.</w:t>
      </w:r>
    </w:p>
    <w:p>
      <w:pPr>
        <w:spacing w:after="100"/>
      </w:pPr>
      <w:r>
        <w:rPr>
          <w:b/>
          <w:bCs/>
        </w:rPr>
        <w:t xml:space="preserve">Missed round: </w:t>
      </w:r>
      <w:r>
        <w:t xml:space="preserve">A round whose deadline passed without a successful deduction.</w:t>
      </w:r>
    </w:p>
    <w:p>
      <w:pPr>
        <w:spacing w:after="100"/>
      </w:pPr>
      <w:r>
        <w:rPr>
          <w:b/>
          <w:bCs/>
        </w:rPr>
        <w:t xml:space="preserve">Catch-up: </w:t>
      </w:r>
      <w:r>
        <w:t xml:space="preserve">Collecting one or more missed rounds (plus fees) together with the current round in a single deduct() call.</w:t>
      </w:r>
    </w:p>
    <w:p>
      <w:pPr>
        <w:spacing w:after="100"/>
      </w:pPr>
      <w:r>
        <w:rPr>
          <w:b/>
          <w:bCs/>
        </w:rPr>
        <w:t xml:space="preserve">Escrow: </w:t>
      </w:r>
      <w:r>
        <w:t xml:space="preserve">The contract-held balance of a user's saved funds until plan completion or emergency withdrawal.</w:t>
      </w:r>
    </w:p>
    <w:p>
      <w:pPr>
        <w:spacing w:after="100"/>
      </w:pPr>
      <w:r>
        <w:rPr>
          <w:b/>
          <w:bCs/>
        </w:rPr>
        <w:t xml:space="preserve">Keeper / bot: </w:t>
      </w:r>
      <w:r>
        <w:t xml:space="preserve">A third-party automated caller incentivized to trigger deduct() during the penalty window.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PiggyBank Protocol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2026-09-19T14:43:56.291Z</dcterms:created>
  <dcterms:modified xsi:type="dcterms:W3CDTF">2026-09-19T14:43:56.300Z</dcterms:modified>
</cp:coreProperties>
</file>

<file path=docProps/custom.xml><?xml version="1.0" encoding="utf-8"?>
<Properties xmlns="http://schemas.openxmlformats.org/officeDocument/2006/custom-properties" xmlns:vt="http://schemas.openxmlformats.org/officeDocument/2006/docPropsVTypes"/>
</file>