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</w:t>
      </w:r>
      <w:r>
        <w:rPr>
          <w:lang w:val="en-US"/>
        </w:rPr>
        <w:t>2048</w:t>
      </w:r>
      <w:r>
        <w:rPr>
          <w:lang w:val="en-US"/>
        </w:rPr>
        <w:t xml:space="preserve">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</w:t>
      </w:r>
      <w:r>
        <w:rPr>
          <w:lang w:val="en-US"/>
        </w:rPr>
        <w:t>4096</w:t>
      </w:r>
      <w:r>
        <w:rPr>
          <w:lang w:val="en-US"/>
        </w:rPr>
        <w:t xml:space="preserve">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77777777" w:rsidR="002B5AA2" w:rsidRPr="00074C34" w:rsidRDefault="002B5AA2" w:rsidP="00365DA9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5956D97E" w14:textId="77777777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72501485" w:rsidR="002B5AA2" w:rsidRDefault="002B5AA2" w:rsidP="00365DA9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94C10EA" w14:textId="49B2FAE6" w:rsidR="002B5AA2" w:rsidRPr="00BE29CA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631C7E2" w14:textId="2F8CDACF" w:rsidR="002B5AA2" w:rsidRPr="00A37AA4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7E209902" w:rsidR="002B5AA2" w:rsidRDefault="002B5AA2" w:rsidP="00365DA9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220D8B11" w14:textId="20A53CF7" w:rsidR="002B5AA2" w:rsidRPr="003468A0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7C9CC59E" w14:textId="05301513" w:rsidR="002B5AA2" w:rsidRPr="0036619E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3C23E84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415CD66" w14:textId="25CF10BF" w:rsidR="002B5AA2" w:rsidRPr="00FB7EF3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7577DB" w14:textId="439AD44B" w:rsidR="002B5AA2" w:rsidRPr="00A503F2" w:rsidRDefault="002B5AA2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3D5B2CBD" w:rsidR="002B5AA2" w:rsidRDefault="002B5AA2" w:rsidP="00365DA9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7FD0F2B" w14:textId="7460B70C" w:rsidR="002B5AA2" w:rsidRPr="00BE6369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23BBE2A" w14:textId="1DE4FA3D" w:rsidR="002B5AA2" w:rsidRPr="00BE6369" w:rsidRDefault="002B5AA2" w:rsidP="00365DA9">
            <w:pPr>
              <w:jc w:val="center"/>
              <w:rPr>
                <w:rtl/>
                <w:lang w:val="en-US"/>
              </w:rPr>
            </w:pPr>
          </w:p>
        </w:tc>
      </w:tr>
      <w:tr w:rsidR="002B5AA2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661C62B6" w:rsidR="002B5AA2" w:rsidRPr="00BC73BB" w:rsidRDefault="002B5AA2" w:rsidP="00365DA9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1BF8E990" w14:textId="644FD7F3" w:rsidR="002B5AA2" w:rsidRPr="00BE6369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24F020" w14:textId="6DD01F5B" w:rsidR="002B5AA2" w:rsidRPr="00BE6369" w:rsidRDefault="002B5AA2" w:rsidP="00365DA9">
            <w:pPr>
              <w:jc w:val="center"/>
              <w:rPr>
                <w:rtl/>
                <w:lang w:val="en-US"/>
              </w:rPr>
            </w:pP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</w:t>
      </w:r>
      <w:r>
        <w:rPr>
          <w:u w:val="single"/>
          <w:lang w:val="en-US"/>
        </w:rPr>
        <w:t>, Vs. optimal: 1.2</w:t>
      </w:r>
      <w:r>
        <w:rPr>
          <w:u w:val="single"/>
          <w:lang w:val="en-US"/>
        </w:rPr>
        <w:t>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7476A081" w14:textId="77777777" w:rsidR="002B5AA2" w:rsidRDefault="002B5AA2" w:rsidP="002B5AA2">
      <w:pPr>
        <w:rPr>
          <w:u w:val="single"/>
          <w:lang w:val="en-US"/>
        </w:rPr>
      </w:pPr>
    </w:p>
    <w:p w14:paraId="05F8719F" w14:textId="77777777" w:rsidR="002B5AA2" w:rsidRDefault="002B5AA2" w:rsidP="002B5AA2">
      <w:pPr>
        <w:rPr>
          <w:u w:val="single"/>
          <w:lang w:val="en-US"/>
        </w:rPr>
      </w:pPr>
      <w:bookmarkStart w:id="0" w:name="_GoBack"/>
      <w:r>
        <w:rPr>
          <w:u w:val="single"/>
          <w:lang w:val="en-US"/>
        </w:rPr>
        <w:br w:type="page"/>
      </w:r>
    </w:p>
    <w:bookmarkEnd w:id="0"/>
    <w:p w14:paraId="64850FCD" w14:textId="77777777" w:rsidR="002B5AA2" w:rsidRDefault="002B5AA2">
      <w:pPr>
        <w:rPr>
          <w:u w:val="single"/>
          <w:lang w:val="en-US"/>
        </w:rPr>
      </w:pPr>
    </w:p>
    <w:p w14:paraId="4684FF31" w14:textId="006958EC" w:rsidR="00A4564C" w:rsidRDefault="00A4564C" w:rsidP="00A4564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773EE067" w14:textId="77777777" w:rsidR="00A4564C" w:rsidRDefault="00A4564C" w:rsidP="00A4564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4233B4F2" w14:textId="77777777" w:rsidR="00A4564C" w:rsidRDefault="00A4564C" w:rsidP="00A4564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54B1868C" w14:textId="77777777" w:rsidR="00A4564C" w:rsidRDefault="00A4564C" w:rsidP="00A4564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39839282" w14:textId="77777777" w:rsidR="00A4564C" w:rsidRDefault="00A4564C" w:rsidP="00A4564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70798D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CB98AC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0D6DDA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</w:tr>
      <w:tr w:rsidR="00A4564C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544503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5A291651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A4564C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B855B2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B855B2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074C34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44E8BCC4" w14:textId="77777777" w:rsidR="00A4564C" w:rsidRDefault="00A4564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A4564C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BE29CA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A37AA4" w:rsidRDefault="00A4564C" w:rsidP="00132261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A4564C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283960ED" w14:textId="77777777" w:rsidR="00A4564C" w:rsidRPr="003468A0" w:rsidRDefault="00A4564C" w:rsidP="00132261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C483A0A" w14:textId="77777777" w:rsidR="00A4564C" w:rsidRPr="0036619E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A4564C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Default="00A4564C" w:rsidP="00132261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458EB073" w14:textId="77777777" w:rsidR="00A4564C" w:rsidRPr="00FB7EF3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A503F2" w:rsidRDefault="00A4564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A4564C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E03C918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A4564C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BC73BB" w:rsidRDefault="00A4564C" w:rsidP="0013226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3FE875F4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5FCDF2AA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7AE33F9E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7B0C84C2" w14:textId="77777777" w:rsidR="00A4564C" w:rsidRDefault="00A4564C" w:rsidP="00A4564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22</w:t>
      </w:r>
    </w:p>
    <w:p w14:paraId="2A4E0A21" w14:textId="77777777" w:rsidR="00A4564C" w:rsidRDefault="00A4564C" w:rsidP="00A4564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48</w:t>
      </w:r>
    </w:p>
    <w:p w14:paraId="0EE74D03" w14:textId="77777777" w:rsidR="00A4564C" w:rsidRDefault="00A4564C" w:rsidP="00A4564C">
      <w:pPr>
        <w:rPr>
          <w:u w:val="single"/>
          <w:lang w:val="en-US"/>
        </w:rPr>
      </w:pPr>
    </w:p>
    <w:p w14:paraId="7F0D68E8" w14:textId="134C3E4D" w:rsidR="00234BA2" w:rsidRDefault="00234BA2" w:rsidP="00234BA2">
      <w:pPr>
        <w:rPr>
          <w:u w:val="single"/>
          <w:lang w:val="en-US"/>
        </w:rPr>
      </w:pPr>
    </w:p>
    <w:p w14:paraId="5DE8C972" w14:textId="77777777" w:rsidR="00A4564C" w:rsidRDefault="00A4564C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OjWgA4ojty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B1824"/>
    <w:rsid w:val="000E5B56"/>
    <w:rsid w:val="000F1300"/>
    <w:rsid w:val="00125948"/>
    <w:rsid w:val="001268AA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3E17"/>
    <w:rsid w:val="002A4B5E"/>
    <w:rsid w:val="002B428A"/>
    <w:rsid w:val="002B4FE9"/>
    <w:rsid w:val="002B5AA2"/>
    <w:rsid w:val="002C4D96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D1B5F"/>
    <w:rsid w:val="004E57BD"/>
    <w:rsid w:val="004E7EA7"/>
    <w:rsid w:val="004F4B5F"/>
    <w:rsid w:val="00523CBE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3311F"/>
    <w:rsid w:val="0084075B"/>
    <w:rsid w:val="00860CC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44F20"/>
    <w:rsid w:val="00F554EB"/>
    <w:rsid w:val="00F571E5"/>
    <w:rsid w:val="00F67BB7"/>
    <w:rsid w:val="00F67D51"/>
    <w:rsid w:val="00F92FB3"/>
    <w:rsid w:val="00F9592B"/>
    <w:rsid w:val="00FA53DE"/>
    <w:rsid w:val="00FA7566"/>
    <w:rsid w:val="00FA7FEB"/>
    <w:rsid w:val="00FB7EF3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15972</TotalTime>
  <Pages>5</Pages>
  <Words>653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284</cp:revision>
  <cp:lastPrinted>2021-05-05T06:40:00Z</cp:lastPrinted>
  <dcterms:created xsi:type="dcterms:W3CDTF">2020-10-23T07:12:00Z</dcterms:created>
  <dcterms:modified xsi:type="dcterms:W3CDTF">2021-11-01T14:42:00Z</dcterms:modified>
</cp:coreProperties>
</file>