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156A16">
      <w:pPr>
        <w:numPr>
          <w:ilvl w:val="0"/>
          <w:numId w:val="1"/>
        </w:num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普通变量</w:t>
      </w:r>
    </w:p>
    <w:p w14:paraId="460545A8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普通变量设置格式</w:t>
      </w:r>
    </w:p>
    <w:p w14:paraId="35092A13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89225" cy="965835"/>
            <wp:effectExtent l="0" t="0" r="158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A532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52F0D1E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普通变量名要求</w:t>
      </w:r>
    </w:p>
    <w:p w14:paraId="664D8698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591435" cy="1418590"/>
            <wp:effectExtent l="0" t="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12D2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1CAE70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所有变量都存储为字符串格式</w:t>
      </w:r>
    </w:p>
    <w:p w14:paraId="2B2B501A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439035" cy="1260475"/>
            <wp:effectExtent l="0" t="0" r="184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7D00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1EC4D5A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变量内容为多个时，变量相当于列表，列表元素之间用分号分割</w:t>
      </w:r>
    </w:p>
    <w:p w14:paraId="24FBA1ED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462655" cy="149288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8EF7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02BC2621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引用变量的方法，可在</w:t>
      </w:r>
      <w:r>
        <w:rPr>
          <w:rFonts w:hint="default"/>
          <w:sz w:val="28"/>
          <w:szCs w:val="36"/>
          <w:lang w:val="en-US" w:eastAsia="zh-CN"/>
        </w:rPr>
        <w:t>””</w:t>
      </w:r>
      <w:r>
        <w:rPr>
          <w:rFonts w:hint="eastAsia"/>
          <w:sz w:val="28"/>
          <w:szCs w:val="36"/>
          <w:lang w:val="en-US" w:eastAsia="zh-CN"/>
        </w:rPr>
        <w:t>中使用，不可在[[ ]]中使用</w:t>
      </w:r>
    </w:p>
    <w:p w14:paraId="63932EE6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357755" cy="133858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10B5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2EE6E406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可以用一个变量设置另一个变量</w:t>
      </w:r>
    </w:p>
    <w:p w14:paraId="2C5BBDF4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114800" cy="15430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DBC0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29133572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rFonts w:hint="default"/>
          <w:sz w:val="28"/>
          <w:szCs w:val="36"/>
          <w:lang w:val="en-US" w:eastAsia="zh-CN"/>
        </w:rPr>
        <w:t>"打印内容" 和 [[打印内容]] 的区别</w:t>
      </w:r>
    </w:p>
    <w:p w14:paraId="7B58E7DA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4F2E051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181225" cy="2273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80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drawing>
          <wp:inline distT="0" distB="0" distL="114300" distR="114300">
            <wp:extent cx="4089400" cy="139827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AF25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AD821E6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8D56EF7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0D3F4BF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环境变量</w:t>
      </w:r>
    </w:p>
    <w:p w14:paraId="437F005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环境变量设置格式</w:t>
      </w:r>
    </w:p>
    <w:p w14:paraId="26F0D642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91130" cy="1249680"/>
            <wp:effectExtent l="0" t="0" r="139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9149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DCF1DA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CMakeLists中设置的环境变量只是临时添加，不会加入系统的环境变量</w:t>
      </w:r>
    </w:p>
    <w:p w14:paraId="065BD40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961380" cy="15233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E3F8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缓存变量</w:t>
      </w:r>
    </w:p>
    <w:p w14:paraId="14851035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缓存变量设置格式</w:t>
      </w:r>
    </w:p>
    <w:p w14:paraId="13370ACE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489450" cy="2376805"/>
            <wp:effectExtent l="0" t="0" r="6350" b="4445"/>
            <wp:docPr id="10" name="图片 10" descr="缓存变量格式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缓存变量格式说明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A833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39F91BCF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缓存变量分类（底层都是string，但是在GUI中显示不一样）</w:t>
      </w:r>
    </w:p>
    <w:p w14:paraId="6147FA84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1653540" cy="1635125"/>
            <wp:effectExtent l="0" t="0" r="3810" b="3175"/>
            <wp:docPr id="11" name="图片 11" descr="缓存变量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缓存变量类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81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4EC4AF9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BOOL类型缓存变量可以用option命令设置</w:t>
      </w:r>
    </w:p>
    <w:p w14:paraId="77D7B38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633720" cy="1263650"/>
            <wp:effectExtent l="0" t="0" r="508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F47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DC0D12F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有同名的普通变量和缓存变量时，用变量名引用的是普通变量</w:t>
      </w:r>
    </w:p>
    <w:p w14:paraId="17A3D3C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4530090" cy="1804670"/>
            <wp:effectExtent l="0" t="0" r="3810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96CB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CF2DF1E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强烈建议区分缓存变量和普通变量命名规则，以避免重名</w:t>
      </w:r>
    </w:p>
    <w:p w14:paraId="1330EB3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例如，缓存变量用全大写，而普通变量用驼峰命名法</w:t>
      </w:r>
    </w:p>
    <w:p w14:paraId="1DD209A0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drawing>
          <wp:inline distT="0" distB="0" distL="114300" distR="114300">
            <wp:extent cx="4970145" cy="1713865"/>
            <wp:effectExtent l="0" t="0" r="190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C02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2E181BD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缓存变量可以在命令行中设置，对应选项为-D</w:t>
      </w:r>
    </w:p>
    <w:p w14:paraId="63AB06B1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6470015" cy="1996440"/>
            <wp:effectExtent l="0" t="0" r="698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7A20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BD51AA6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命令行中可以用-U选项删除设置的缓存变量，这里使用了通配符，会删除所有MY开头的缓存变量</w:t>
      </w:r>
    </w:p>
    <w:p w14:paraId="5A2F3AC9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785235" cy="2239010"/>
            <wp:effectExtent l="0" t="0" r="571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7D2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274CF9D7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41DD0FA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BF86DA5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4BC88C8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7F5B4C2F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12F87BF4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16005300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变量作用域</w:t>
      </w:r>
    </w:p>
    <w:p w14:paraId="0DA9001B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普通变量和缓存变量的作用域区别</w:t>
      </w:r>
    </w:p>
    <w:p w14:paraId="49659603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286760" cy="1831975"/>
            <wp:effectExtent l="0" t="0" r="8890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A09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3293327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可以用block()和endblock()建立一个局部作用域</w:t>
      </w:r>
    </w:p>
    <w:p w14:paraId="2EB7768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188585" cy="2785745"/>
            <wp:effectExtent l="0" t="0" r="12065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923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049679D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可以在set方法中加上PARENT_SCOPE 来访问父作用域</w:t>
      </w:r>
    </w:p>
    <w:p w14:paraId="1E3BD39D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090160" cy="2574290"/>
            <wp:effectExtent l="0" t="0" r="1524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02B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2A790848">
      <w:pPr>
        <w:numPr>
          <w:ilvl w:val="0"/>
          <w:numId w:val="0"/>
        </w:numPr>
        <w:ind w:leftChars="0"/>
        <w:jc w:val="both"/>
        <w:rPr>
          <w:sz w:val="28"/>
          <w:szCs w:val="36"/>
        </w:rPr>
      </w:pPr>
    </w:p>
    <w:p w14:paraId="78F3FF2F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可以在block()方法中加入PROPAGATE关键字，</w:t>
      </w:r>
    </w:p>
    <w:p w14:paraId="42FEBA8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来让指定变量在局部作用域访问的是父作用域的引用</w:t>
      </w:r>
    </w:p>
    <w:p w14:paraId="69BFEB5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sz w:val="28"/>
          <w:szCs w:val="36"/>
        </w:rPr>
        <w:drawing>
          <wp:inline distT="0" distB="0" distL="114300" distR="114300">
            <wp:extent cx="5127625" cy="2408555"/>
            <wp:effectExtent l="0" t="0" r="1587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528044"/>
    <w:multiLevelType w:val="singleLevel"/>
    <w:tmpl w:val="ED5280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251C3"/>
    <w:rsid w:val="0FCE57B5"/>
    <w:rsid w:val="1B7D321C"/>
    <w:rsid w:val="238910E7"/>
    <w:rsid w:val="3E556265"/>
    <w:rsid w:val="3EA90890"/>
    <w:rsid w:val="526E30EE"/>
    <w:rsid w:val="538C0077"/>
    <w:rsid w:val="6D1C35EC"/>
    <w:rsid w:val="75AE4089"/>
    <w:rsid w:val="7ABB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416</Words>
  <Characters>489</Characters>
  <Lines>0</Lines>
  <Paragraphs>0</Paragraphs>
  <TotalTime>63</TotalTime>
  <ScaleCrop>false</ScaleCrop>
  <LinksUpToDate>false</LinksUpToDate>
  <CharactersWithSpaces>495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2025-06-04T12:43:50Z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