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r>
        <w:rPr>
          <w:rFonts w:ascii="Aptos" w:hAnsi="Aptos"/>
          <w:b/>
          <w:color w:val="173D2B"/>
          <w:sz w:val="20"/>
        </w:rPr>
        <w:t>DOCUMENT DE CADRAGE FONCTIONNEL ET TECHNIQUE</w:t>
      </w:r>
    </w:p>
    <w:p>
      <w:pPr>
        <w:pStyle w:val="Title"/>
      </w:pPr>
      <w:r>
        <w:t>Conception technique de la plateforme de diagnostic énergétique</w:t>
      </w:r>
    </w:p>
    <w:p>
      <w:pPr>
        <w:spacing w:after="840"/>
      </w:pPr>
      <w:r>
        <w:rPr>
          <w:rFonts w:ascii="Aptos" w:hAnsi="Aptos"/>
          <w:b w:val="0"/>
          <w:color w:val="235C41"/>
          <w:sz w:val="30"/>
        </w:rPr>
        <w:t>Collecte intelligente des données, calcul des coûts visibles et cachés, simulation des solutions et génération automatique du rapport</w:t>
      </w:r>
    </w:p>
    <w:tbl>
      <w:tblPr>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2232"/>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9"/>
              </w:rPr>
              <w:t>Élément</w:t>
            </w:r>
          </w:p>
        </w:tc>
        <w:tc>
          <w:tcPr>
            <w:tcW w:type="dxa" w:w="7703"/>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9"/>
              </w:rPr>
              <w:t>Valeur</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9"/>
              </w:rPr>
              <w:t>Objet</w:t>
            </w:r>
          </w:p>
        </w:tc>
        <w:tc>
          <w:tcPr>
            <w:tcW w:type="dxa" w:w="770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9"/>
              </w:rPr>
              <w:t>Base de conception à valider avant le développement</w:t>
            </w:r>
          </w:p>
        </w:tc>
      </w:tr>
      <w:tr>
        <w:trPr>
          <w:cantSplit w:val="true"/>
        </w:trPr>
        <w:tc>
          <w:tcPr>
            <w:tcW w:type="dxa" w:w="223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9"/>
              </w:rPr>
              <w:t>Source métier</w:t>
            </w:r>
          </w:p>
        </w:tc>
        <w:tc>
          <w:tcPr>
            <w:tcW w:type="dxa" w:w="7703"/>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9"/>
              </w:rPr>
              <w:t>Modèle de rapport BEG et notes d'atelier</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9"/>
              </w:rPr>
              <w:t>Périmètre</w:t>
            </w:r>
          </w:p>
        </w:tc>
        <w:tc>
          <w:tcPr>
            <w:tcW w:type="dxa" w:w="770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9"/>
              </w:rPr>
              <w:t>Dossier client, questionnaire, calcul, scénarios, rapport et devis</w:t>
            </w:r>
          </w:p>
        </w:tc>
      </w:tr>
      <w:tr>
        <w:trPr>
          <w:cantSplit w:val="true"/>
        </w:trPr>
        <w:tc>
          <w:tcPr>
            <w:tcW w:type="dxa" w:w="223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9"/>
              </w:rPr>
              <w:t>Version</w:t>
            </w:r>
          </w:p>
        </w:tc>
        <w:tc>
          <w:tcPr>
            <w:tcW w:type="dxa" w:w="7703"/>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9"/>
              </w:rPr>
              <w:t>1.0 - 17 septembre 2026</w:t>
            </w:r>
          </w:p>
        </w:tc>
      </w:tr>
    </w:tbl>
    <w:p>
      <w:pPr>
        <w:spacing w:after="40"/>
      </w:pPr>
    </w:p>
    <w:p>
      <w:pPr>
        <w:spacing w:before="640" w:after="160"/>
      </w:pPr>
      <w:r>
        <w:rPr>
          <w:rFonts w:ascii="Aptos" w:hAnsi="Aptos"/>
          <w:b/>
          <w:color w:val="173D2B"/>
          <w:sz w:val="22"/>
        </w:rPr>
        <w:t>Décision structurante</w:t>
      </w:r>
    </w:p>
    <w:p>
      <w:pPr>
        <w:spacing w:after="120" w:line="269" w:lineRule="auto"/>
      </w:pPr>
      <w:r>
        <w:rPr>
          <w:rFonts w:ascii="Aptos" w:hAnsi="Aptos"/>
          <w:b w:val="0"/>
          <w:i w:val="0"/>
          <w:color w:val="202724"/>
          <w:sz w:val="21"/>
        </w:rPr>
        <w:t>Construire un monolithe modulaire avec un moteur de calcul déterministe, versionné et indépendant de la présentation. Le formulaire, les tableaux, les courbes, la recommandation et le devis doivent tous lire le même snapshot de calcul approuvé.</w:t>
      </w:r>
    </w:p>
    <w:p>
      <w:r>
        <w:br w:type="page"/>
      </w:r>
    </w:p>
    <w:p>
      <w:pPr>
        <w:pStyle w:val="Heading1"/>
        <w:keepNext/>
        <w:spacing w:before="280" w:after="100"/>
      </w:pPr>
      <w:r>
        <w:rPr>
          <w:rFonts w:ascii="Aptos" w:hAnsi="Aptos"/>
          <w:b/>
          <w:color w:val="000000"/>
          <w:sz w:val="32"/>
        </w:rPr>
        <w:t>Sommaire</w:t>
      </w:r>
    </w:p>
    <w:p>
      <w:pPr>
        <w:spacing w:after="100"/>
      </w:pPr>
      <w:r>
        <w:rPr>
          <w:rFonts w:ascii="Aptos" w:hAnsi="Aptos"/>
          <w:b w:val="0"/>
          <w:color w:val="202724"/>
          <w:sz w:val="21"/>
        </w:rPr>
        <w:t>1 Synthèse et recommandations</w:t>
      </w:r>
    </w:p>
    <w:p>
      <w:pPr>
        <w:spacing w:after="100"/>
      </w:pPr>
      <w:r>
        <w:rPr>
          <w:rFonts w:ascii="Aptos" w:hAnsi="Aptos"/>
          <w:b w:val="0"/>
          <w:color w:val="202724"/>
          <w:sz w:val="21"/>
        </w:rPr>
        <w:t>2 Analyse du rapport source</w:t>
      </w:r>
    </w:p>
    <w:p>
      <w:pPr>
        <w:spacing w:after="100"/>
      </w:pPr>
      <w:r>
        <w:rPr>
          <w:rFonts w:ascii="Aptos" w:hAnsi="Aptos"/>
          <w:b w:val="0"/>
          <w:color w:val="202724"/>
          <w:sz w:val="21"/>
        </w:rPr>
        <w:t>3 Périmètre fonctionnel et acteurs</w:t>
      </w:r>
    </w:p>
    <w:p>
      <w:pPr>
        <w:spacing w:after="100"/>
      </w:pPr>
      <w:r>
        <w:rPr>
          <w:rFonts w:ascii="Aptos" w:hAnsi="Aptos"/>
          <w:b w:val="0"/>
          <w:color w:val="202724"/>
          <w:sz w:val="21"/>
        </w:rPr>
        <w:t>4 Parcours métier cible</w:t>
      </w:r>
    </w:p>
    <w:p>
      <w:pPr>
        <w:spacing w:after="100"/>
      </w:pPr>
      <w:r>
        <w:rPr>
          <w:rFonts w:ascii="Aptos" w:hAnsi="Aptos"/>
          <w:b w:val="0"/>
          <w:color w:val="202724"/>
          <w:sz w:val="21"/>
        </w:rPr>
        <w:t>5 Formulaire adaptatif et collecte optimale</w:t>
      </w:r>
    </w:p>
    <w:p>
      <w:pPr>
        <w:spacing w:after="100"/>
      </w:pPr>
      <w:r>
        <w:rPr>
          <w:rFonts w:ascii="Aptos" w:hAnsi="Aptos"/>
          <w:b w:val="0"/>
          <w:color w:val="202724"/>
          <w:sz w:val="21"/>
        </w:rPr>
        <w:t>6 Modèle de calcul et règles de gestion</w:t>
      </w:r>
    </w:p>
    <w:p>
      <w:pPr>
        <w:spacing w:after="100"/>
      </w:pPr>
      <w:r>
        <w:rPr>
          <w:rFonts w:ascii="Aptos" w:hAnsi="Aptos"/>
          <w:b w:val="0"/>
          <w:color w:val="202724"/>
          <w:sz w:val="21"/>
        </w:rPr>
        <w:t>7 Scénarios solutions ROI et devis</w:t>
      </w:r>
    </w:p>
    <w:p>
      <w:pPr>
        <w:spacing w:after="100"/>
      </w:pPr>
      <w:r>
        <w:rPr>
          <w:rFonts w:ascii="Aptos" w:hAnsi="Aptos"/>
          <w:b w:val="0"/>
          <w:color w:val="202724"/>
          <w:sz w:val="21"/>
        </w:rPr>
        <w:t>8 Modèle de données</w:t>
      </w:r>
    </w:p>
    <w:p>
      <w:pPr>
        <w:spacing w:after="100"/>
      </w:pPr>
      <w:r>
        <w:rPr>
          <w:rFonts w:ascii="Aptos" w:hAnsi="Aptos"/>
          <w:b w:val="0"/>
          <w:color w:val="202724"/>
          <w:sz w:val="21"/>
        </w:rPr>
        <w:t>9 Architecture et stack recommandées</w:t>
      </w:r>
    </w:p>
    <w:p>
      <w:pPr>
        <w:spacing w:after="100"/>
      </w:pPr>
      <w:r>
        <w:rPr>
          <w:rFonts w:ascii="Aptos" w:hAnsi="Aptos"/>
          <w:b w:val="0"/>
          <w:color w:val="202724"/>
          <w:sz w:val="21"/>
        </w:rPr>
        <w:t>10 Génération du rapport</w:t>
      </w:r>
    </w:p>
    <w:p>
      <w:pPr>
        <w:spacing w:after="100"/>
      </w:pPr>
      <w:r>
        <w:rPr>
          <w:rFonts w:ascii="Aptos" w:hAnsi="Aptos"/>
          <w:b w:val="0"/>
          <w:color w:val="202724"/>
          <w:sz w:val="21"/>
        </w:rPr>
        <w:t>11 Sécurité qualité et exploitation</w:t>
      </w:r>
    </w:p>
    <w:p>
      <w:pPr>
        <w:spacing w:after="100"/>
      </w:pPr>
      <w:r>
        <w:rPr>
          <w:rFonts w:ascii="Aptos" w:hAnsi="Aptos"/>
          <w:b w:val="0"/>
          <w:color w:val="202724"/>
          <w:sz w:val="21"/>
        </w:rPr>
        <w:t>12 Découpage MVP et critères de recette</w:t>
      </w:r>
    </w:p>
    <w:p>
      <w:pPr>
        <w:spacing w:after="100"/>
      </w:pPr>
      <w:r>
        <w:rPr>
          <w:rFonts w:ascii="Aptos" w:hAnsi="Aptos"/>
          <w:b w:val="0"/>
          <w:color w:val="202724"/>
          <w:sz w:val="21"/>
        </w:rPr>
        <w:t>13 Décisions à valider avec le client</w:t>
      </w:r>
    </w:p>
    <w:p>
      <w:pPr>
        <w:spacing w:after="100"/>
      </w:pPr>
      <w:r>
        <w:rPr>
          <w:rFonts w:ascii="Aptos" w:hAnsi="Aptos"/>
          <w:b w:val="0"/>
          <w:color w:val="202724"/>
          <w:sz w:val="21"/>
        </w:rPr>
        <w:t>Annexes</w:t>
      </w:r>
    </w:p>
    <w:p>
      <w:r>
        <w:br w:type="page"/>
      </w:r>
    </w:p>
    <w:p>
      <w:pPr>
        <w:pStyle w:val="Heading1"/>
        <w:keepNext/>
        <w:spacing w:before="280" w:after="100"/>
      </w:pPr>
      <w:r>
        <w:rPr>
          <w:rFonts w:ascii="Aptos" w:hAnsi="Aptos"/>
          <w:b/>
          <w:color w:val="000000"/>
          <w:sz w:val="32"/>
        </w:rPr>
        <w:t>1 Synthèse et recommandations</w:t>
      </w:r>
    </w:p>
    <w:p>
      <w:pPr>
        <w:spacing w:after="120" w:line="269" w:lineRule="auto"/>
      </w:pPr>
      <w:r>
        <w:rPr>
          <w:rFonts w:ascii="Aptos" w:hAnsi="Aptos"/>
          <w:b w:val="0"/>
          <w:i w:val="0"/>
          <w:color w:val="202724"/>
          <w:sz w:val="21"/>
        </w:rPr>
        <w:t>Le produit à construire est une plateforme de diagnostic énergétique industriel, et non un générateur de document isolé. Elle doit guider le client dans la collecte, permettre à l'équipe interne de compléter et vérifier le dossier, calculer le coût annuel réel de la situation, comparer plusieurs solutions et produire un rapport cohérent avec le devis.</w:t>
      </w:r>
    </w:p>
    <w:p>
      <w:pPr>
        <w:pStyle w:val="Heading2"/>
        <w:keepNext/>
        <w:spacing w:before="200" w:after="100"/>
      </w:pPr>
      <w:r>
        <w:rPr>
          <w:rFonts w:ascii="Aptos" w:hAnsi="Aptos"/>
          <w:b/>
          <w:color w:val="000000"/>
          <w:sz w:val="25"/>
        </w:rPr>
        <w:t>Architecture produit recommandée</w:t>
      </w:r>
    </w:p>
    <w:p>
      <w:pPr>
        <w:pStyle w:val="ListBullet"/>
        <w:spacing w:after="60" w:line="259" w:lineRule="auto"/>
      </w:pPr>
      <w:r>
        <w:rPr>
          <w:rFonts w:ascii="Aptos" w:hAnsi="Aptos"/>
          <w:b w:val="0"/>
          <w:color w:val="202724"/>
          <w:sz w:val="21"/>
        </w:rPr>
        <w:t>Deux interfaces sur une même plateforme : un portail client très guidé et un back-office expert plus dense.</w:t>
      </w:r>
    </w:p>
    <w:p>
      <w:pPr>
        <w:pStyle w:val="ListBullet"/>
        <w:spacing w:after="60" w:line="259" w:lineRule="auto"/>
      </w:pPr>
      <w:r>
        <w:rPr>
          <w:rFonts w:ascii="Aptos" w:hAnsi="Aptos"/>
          <w:b w:val="0"/>
          <w:color w:val="202724"/>
          <w:sz w:val="21"/>
        </w:rPr>
        <w:t>Un dossier par entreprise et par site, avec statut, responsables, pièces, progression, alertes et historique.</w:t>
      </w:r>
    </w:p>
    <w:p>
      <w:pPr>
        <w:pStyle w:val="ListBullet"/>
        <w:spacing w:after="60" w:line="259" w:lineRule="auto"/>
      </w:pPr>
      <w:r>
        <w:rPr>
          <w:rFonts w:ascii="Aptos" w:hAnsi="Aptos"/>
          <w:b w:val="0"/>
          <w:color w:val="202724"/>
          <w:sz w:val="21"/>
        </w:rPr>
        <w:t>Un formulaire adaptatif : les questions non pertinentes ne sont jamais affichées et les coûts cachés ne sont calculés que si leur condition d'applicabilité est confirmée.</w:t>
      </w:r>
    </w:p>
    <w:p>
      <w:pPr>
        <w:pStyle w:val="ListBullet"/>
        <w:spacing w:after="60" w:line="259" w:lineRule="auto"/>
      </w:pPr>
      <w:r>
        <w:rPr>
          <w:rFonts w:ascii="Aptos" w:hAnsi="Aptos"/>
          <w:b w:val="0"/>
          <w:color w:val="202724"/>
          <w:sz w:val="21"/>
        </w:rPr>
        <w:t>Un moteur de calcul pur et versionné, avec unités explicites, montants exacts et tests automatisés sur chaque formule.</w:t>
      </w:r>
    </w:p>
    <w:p>
      <w:pPr>
        <w:pStyle w:val="ListBullet"/>
        <w:spacing w:after="60" w:line="259" w:lineRule="auto"/>
      </w:pPr>
      <w:r>
        <w:rPr>
          <w:rFonts w:ascii="Aptos" w:hAnsi="Aptos"/>
          <w:b w:val="0"/>
          <w:color w:val="202724"/>
          <w:sz w:val="21"/>
        </w:rPr>
        <w:t>Une génération PDF asynchrone à partir d'un snapshot immuable, afin qu'un rapport déjà publié ne change jamais après une modification ultérieure.</w:t>
      </w:r>
    </w:p>
    <w:p>
      <w:pPr>
        <w:pStyle w:val="ListBullet"/>
        <w:spacing w:after="60" w:line="259" w:lineRule="auto"/>
      </w:pPr>
      <w:r>
        <w:rPr>
          <w:rFonts w:ascii="Aptos" w:hAnsi="Aptos"/>
          <w:b w:val="0"/>
          <w:color w:val="202724"/>
          <w:sz w:val="21"/>
        </w:rPr>
        <w:t>Un monolithe modulaire pour le MVP, accompagné d'un worker séparé pour l'OCR, les calculs lourds et la génération documentaire.</w:t>
      </w:r>
    </w:p>
    <w:p>
      <w:pPr>
        <w:pStyle w:val="Heading2"/>
        <w:keepNext/>
        <w:spacing w:before="200" w:after="100"/>
      </w:pPr>
      <w:r>
        <w:rPr>
          <w:rFonts w:ascii="Aptos" w:hAnsi="Aptos"/>
          <w:b/>
          <w:color w:val="000000"/>
          <w:sz w:val="25"/>
        </w:rPr>
        <w:t>Résultat attendu pour chaque dossier</w:t>
      </w:r>
    </w:p>
    <w:tbl>
      <w:tblPr>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1655"/>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Sortie</w:t>
            </w:r>
          </w:p>
        </w:tc>
        <w:tc>
          <w:tcPr>
            <w:tcW w:type="dxa" w:w="6408"/>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Contenu</w:t>
            </w:r>
          </w:p>
        </w:tc>
        <w:tc>
          <w:tcPr>
            <w:tcW w:type="dxa" w:w="1872"/>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Responsable de validation</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Diagnostic</w:t>
            </w:r>
          </w:p>
        </w:tc>
        <w:tc>
          <w:tcPr>
            <w:tcW w:type="dxa" w:w="64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Coûts visibles, coûts cachés, hypothèses, niveau de confiance et total annuel</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Analyste énergie</w:t>
            </w:r>
          </w:p>
        </w:tc>
      </w:tr>
      <w:tr>
        <w:trPr>
          <w:cantSplit w:val="true"/>
        </w:trPr>
        <w:tc>
          <w:tcPr>
            <w:tcW w:type="dxa" w:w="1655"/>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Scénarios</w:t>
            </w:r>
          </w:p>
        </w:tc>
        <w:tc>
          <w:tcPr>
            <w:tcW w:type="dxa" w:w="640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Investissement, réduction par poste, coût résiduel, économies, délai de retour et coût cumulé</w:t>
            </w:r>
          </w:p>
        </w:tc>
        <w:tc>
          <w:tcPr>
            <w:tcW w:type="dxa" w:w="187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Analyste énergie</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Recommandation</w:t>
            </w:r>
          </w:p>
        </w:tc>
        <w:tc>
          <w:tcPr>
            <w:tcW w:type="dxa" w:w="64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Scénario choisi, raisons, limites et hypothèses critiques</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Responsable commercial ou technique</w:t>
            </w:r>
          </w:p>
        </w:tc>
      </w:tr>
      <w:tr>
        <w:trPr>
          <w:cantSplit w:val="true"/>
        </w:trPr>
        <w:tc>
          <w:tcPr>
            <w:tcW w:type="dxa" w:w="1655"/>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Rapport PDF</w:t>
            </w:r>
          </w:p>
        </w:tc>
        <w:tc>
          <w:tcPr>
            <w:tcW w:type="dxa" w:w="640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Présentation 16:9 générée, datée, numérotée et versionnée</w:t>
            </w:r>
          </w:p>
        </w:tc>
        <w:tc>
          <w:tcPr>
            <w:tcW w:type="dxa" w:w="187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Validateur désigné</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Devis</w:t>
            </w:r>
          </w:p>
        </w:tc>
        <w:tc>
          <w:tcPr>
            <w:tcW w:type="dxa" w:w="64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Lignes commerciales liées au scénario approuvé, sans recalcul manuel</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Responsable commercial</w:t>
            </w:r>
          </w:p>
        </w:tc>
      </w:tr>
    </w:tbl>
    <w:p>
      <w:pPr>
        <w:spacing w:after="40"/>
      </w:pPr>
    </w:p>
    <w:p>
      <w:r>
        <w:drawing>
          <wp:inline xmlns:a="http://schemas.openxmlformats.org/drawingml/2006/main" xmlns:pic="http://schemas.openxmlformats.org/drawingml/2006/picture">
            <wp:extent cx="6263640" cy="3250397"/>
            <wp:docPr id="1" name="Picture 1"/>
            <wp:cNvGraphicFramePr>
              <a:graphicFrameLocks noChangeAspect="1"/>
            </wp:cNvGraphicFramePr>
            <a:graphic>
              <a:graphicData uri="http://schemas.openxmlformats.org/drawingml/2006/picture">
                <pic:pic>
                  <pic:nvPicPr>
                    <pic:cNvPr id="0" name="flow_global.png"/>
                    <pic:cNvPicPr/>
                  </pic:nvPicPr>
                  <pic:blipFill>
                    <a:blip r:embed="rId11"/>
                    <a:stretch>
                      <a:fillRect/>
                    </a:stretch>
                  </pic:blipFill>
                  <pic:spPr>
                    <a:xfrm>
                      <a:off x="0" y="0"/>
                      <a:ext cx="6263640" cy="3250397"/>
                    </a:xfrm>
                    <a:prstGeom prst="rect"/>
                  </pic:spPr>
                </pic:pic>
              </a:graphicData>
            </a:graphic>
          </wp:inline>
        </w:drawing>
      </w:r>
    </w:p>
    <w:p>
      <w:pPr>
        <w:jc w:val="center"/>
      </w:pPr>
      <w:r>
        <w:t>Figure 1  Parcours de bout en bout</w:t>
      </w:r>
      <w:r>
        <w:rPr>
          <w:rFonts w:ascii="Aptos" w:hAnsi="Aptos"/>
          <w:b w:val="0"/>
          <w:color w:val="5A6660"/>
          <w:sz w:val="17"/>
        </w:rPr>
      </w:r>
    </w:p>
    <w:p>
      <w:pPr>
        <w:pStyle w:val="Heading1"/>
        <w:keepNext/>
        <w:spacing w:before="280" w:after="100"/>
      </w:pPr>
      <w:r>
        <w:rPr>
          <w:rFonts w:ascii="Aptos" w:hAnsi="Aptos"/>
          <w:b/>
          <w:color w:val="000000"/>
          <w:sz w:val="32"/>
        </w:rPr>
        <w:t>2 Analyse du rapport source</w:t>
      </w:r>
    </w:p>
    <w:p>
      <w:pPr>
        <w:spacing w:after="120" w:line="269" w:lineRule="auto"/>
      </w:pPr>
      <w:r>
        <w:rPr>
          <w:rFonts w:ascii="Aptos" w:hAnsi="Aptos"/>
          <w:b w:val="0"/>
          <w:i w:val="0"/>
          <w:color w:val="202724"/>
          <w:sz w:val="21"/>
        </w:rPr>
        <w:t>Le modèle BEG contient neuf pages de présentation correspondant aux pages numérotées 1, 2, 3, 4, 5, 7, 9, 11 et 12. Sa logique est solide : expliquer le contexte, chiffrer la situation actuelle, comparer trois scénarios, illustrer le retour sur investissement, puis recommander une solution. Cette trame doit devenir un modèle de rapport paramétrable.</w:t>
      </w:r>
    </w:p>
    <w:p>
      <w:pPr>
        <w:pStyle w:val="Heading2"/>
        <w:keepNext/>
        <w:spacing w:before="200" w:after="100"/>
      </w:pPr>
      <w:r>
        <w:rPr>
          <w:rFonts w:ascii="Aptos" w:hAnsi="Aptos"/>
          <w:b/>
          <w:color w:val="000000"/>
          <w:sz w:val="25"/>
        </w:rPr>
        <w:t>Correspondance entre le rapport et l'application</w:t>
      </w:r>
    </w:p>
    <w:tbl>
      <w:tblPr>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1152"/>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Page du modèle</w:t>
            </w:r>
          </w:p>
        </w:tc>
        <w:tc>
          <w:tcPr>
            <w:tcW w:type="dxa" w:w="3456"/>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Fonction de la page</w:t>
            </w:r>
          </w:p>
        </w:tc>
        <w:tc>
          <w:tcPr>
            <w:tcW w:type="dxa" w:w="5328"/>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Données ou calculs requis</w:t>
            </w:r>
          </w:p>
        </w:tc>
      </w:tr>
      <w:tr>
        <w:trPr>
          <w:cantSplit w:val="true"/>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1</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Couverture</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Entreprise, site, titre, photo ou visuel, date, version</w:t>
            </w:r>
          </w:p>
        </w:tc>
      </w:tr>
      <w:tr>
        <w:trPr>
          <w:cantSplit w:val="true"/>
        </w:trPr>
        <w:tc>
          <w:tcPr>
            <w:tcW w:type="dxa" w:w="115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2</w:t>
            </w:r>
          </w:p>
        </w:tc>
        <w:tc>
          <w:tcPr>
            <w:tcW w:type="dxa" w:w="3456"/>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Objectif périmètre méthode</w:t>
            </w:r>
          </w:p>
        </w:tc>
        <w:tc>
          <w:tcPr>
            <w:tcW w:type="dxa" w:w="53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Contexte, capacité actuelle, extension future, période analysée</w:t>
            </w:r>
          </w:p>
        </w:tc>
      </w:tr>
      <w:tr>
        <w:trPr>
          <w:cantSplit w:val="true"/>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3</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Constats clés</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Indicateurs calculés et faits validés par l'analyste</w:t>
            </w:r>
          </w:p>
        </w:tc>
      </w:tr>
      <w:tr>
        <w:trPr>
          <w:cantSplit w:val="true"/>
        </w:trPr>
        <w:tc>
          <w:tcPr>
            <w:tcW w:type="dxa" w:w="115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4</w:t>
            </w:r>
          </w:p>
        </w:tc>
        <w:tc>
          <w:tcPr>
            <w:tcW w:type="dxa" w:w="3456"/>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Graphique situation actuelle</w:t>
            </w:r>
          </w:p>
        </w:tc>
        <w:tc>
          <w:tcPr>
            <w:tcW w:type="dxa" w:w="53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Coût annuel par poste, visible ou caché</w:t>
            </w:r>
          </w:p>
        </w:tc>
      </w:tr>
      <w:tr>
        <w:trPr>
          <w:cantSplit w:val="true"/>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5</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Tableau situation actuelle</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Formule lisible, détail, montant annuel, source</w:t>
            </w:r>
          </w:p>
        </w:tc>
      </w:tr>
      <w:tr>
        <w:trPr>
          <w:cantSplit w:val="true"/>
        </w:trPr>
        <w:tc>
          <w:tcPr>
            <w:tcW w:type="dxa" w:w="115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7</w:t>
            </w:r>
          </w:p>
        </w:tc>
        <w:tc>
          <w:tcPr>
            <w:tcW w:type="dxa" w:w="3456"/>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Impact des scénarios</w:t>
            </w:r>
          </w:p>
        </w:tc>
        <w:tc>
          <w:tcPr>
            <w:tcW w:type="dxa" w:w="53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Pourcentage de réduction par poste et par solution</w:t>
            </w:r>
          </w:p>
        </w:tc>
      </w:tr>
      <w:tr>
        <w:trPr>
          <w:cantSplit w:val="true"/>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9</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ROI et courbe</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Investissement, coût résiduel, économie, délai de retour, horizon</w:t>
            </w:r>
          </w:p>
        </w:tc>
      </w:tr>
      <w:tr>
        <w:trPr>
          <w:cantSplit w:val="true"/>
        </w:trPr>
        <w:tc>
          <w:tcPr>
            <w:tcW w:type="dxa" w:w="115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11</w:t>
            </w:r>
          </w:p>
        </w:tc>
        <w:tc>
          <w:tcPr>
            <w:tcW w:type="dxa" w:w="3456"/>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Recommandation</w:t>
            </w:r>
          </w:p>
        </w:tc>
        <w:tc>
          <w:tcPr>
            <w:tcW w:type="dxa" w:w="53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Scénario sélectionné et motifs structurés</w:t>
            </w:r>
          </w:p>
        </w:tc>
      </w:tr>
      <w:tr>
        <w:trPr>
          <w:cantSplit w:val="true"/>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12</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Sécurisation</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Garanties, accompagnement, supervision, évolutivité, pièces</w:t>
            </w:r>
          </w:p>
        </w:tc>
      </w:tr>
    </w:tbl>
    <w:p>
      <w:pPr>
        <w:spacing w:after="40"/>
      </w:pPr>
    </w:p>
    <w:p>
      <w:pPr>
        <w:pStyle w:val="Heading2"/>
        <w:keepNext/>
        <w:spacing w:before="200" w:after="100"/>
      </w:pPr>
      <w:r>
        <w:rPr>
          <w:rFonts w:ascii="Aptos" w:hAnsi="Aptos"/>
          <w:b/>
          <w:color w:val="000000"/>
          <w:sz w:val="25"/>
        </w:rPr>
        <w:t>Incohérences à supprimer par conception</w:t>
      </w:r>
    </w:p>
    <w:tbl>
      <w:tblPr>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3456"/>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Constat</w:t>
            </w:r>
          </w:p>
        </w:tc>
        <w:tc>
          <w:tcPr>
            <w:tcW w:type="dxa" w:w="2448"/>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Risque</w:t>
            </w:r>
          </w:p>
        </w:tc>
        <w:tc>
          <w:tcPr>
            <w:tcW w:type="dxa" w:w="4031"/>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Règle cible</w:t>
            </w:r>
          </w:p>
        </w:tc>
      </w:tr>
      <w:tr>
        <w:trPr>
          <w:cantSplit w:val="true"/>
        </w:trPr>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La page 5 utilise une moyenne sur 6 mois x 12 alors que les notes imposent 12 factures consécutives</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Annualisation contestable et différence avec les pièces</w:t>
            </w:r>
          </w:p>
        </w:tc>
        <w:tc>
          <w:tcPr>
            <w:tcW w:type="dxa" w:w="403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Sommer exactement les 12 dernières factures consécutives. Toute période incomplète produit un avertissement explicite.</w:t>
            </w:r>
          </w:p>
        </w:tc>
      </w:tr>
      <w:tr>
        <w:trPr>
          <w:cantSplit w:val="true"/>
        </w:trPr>
        <w:tc>
          <w:tcPr>
            <w:tcW w:type="dxa" w:w="3456"/>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La page 11 annonce un ROI de 2,1 ans pour la proposition 2, tandis que la page 9 calcule 3,05 ans</w:t>
            </w:r>
          </w:p>
        </w:tc>
        <w:tc>
          <w:tcPr>
            <w:tcW w:type="dxa" w:w="244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Perte de confiance et erreur commerciale</w:t>
            </w:r>
          </w:p>
        </w:tc>
        <w:tc>
          <w:tcPr>
            <w:tcW w:type="dxa" w:w="4031"/>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La recommandation ne contient aucun nombre saisi manuellement. Elle lit uniquement le snapshot du scénario approuvé.</w:t>
            </w:r>
          </w:p>
        </w:tc>
      </w:tr>
      <w:tr>
        <w:trPr>
          <w:cantSplit w:val="true"/>
        </w:trPr>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Le terme ROI désigne ici un nombre d'années</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Confusion entre rentabilité et délai de récupération</w:t>
            </w:r>
          </w:p>
        </w:tc>
        <w:tc>
          <w:tcPr>
            <w:tcW w:type="dxa" w:w="403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Afficher délai de retour simple en années. Réserver ROI au ratio de gain, exprimé en pourcentage.</w:t>
            </w:r>
          </w:p>
        </w:tc>
      </w:tr>
      <w:tr>
        <w:trPr>
          <w:cantSplit w:val="true"/>
        </w:trPr>
        <w:tc>
          <w:tcPr>
            <w:tcW w:type="dxa" w:w="3456"/>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Les taux de réduction des scénarios apparaissent sans justification</w:t>
            </w:r>
          </w:p>
        </w:tc>
        <w:tc>
          <w:tcPr>
            <w:tcW w:type="dxa" w:w="244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Hypothèses invérifiables</w:t>
            </w:r>
          </w:p>
        </w:tc>
        <w:tc>
          <w:tcPr>
            <w:tcW w:type="dxa" w:w="4031"/>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Chaque taux porte une source, une note technique, un auteur, une date et éventuellement une pièce.</w:t>
            </w:r>
          </w:p>
        </w:tc>
      </w:tr>
      <w:tr>
        <w:trPr>
          <w:cantSplit w:val="true"/>
        </w:trPr>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Les coûts cachés peuvent ne pas exister sur tous les sites</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Surévaluation du problème</w:t>
            </w:r>
          </w:p>
        </w:tc>
        <w:tc>
          <w:tcPr>
            <w:tcW w:type="dxa" w:w="403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Appliquer des portes conditionnelles et autoriser le statut non applicable avec justification.</w:t>
            </w:r>
          </w:p>
        </w:tc>
      </w:tr>
    </w:tbl>
    <w:p>
      <w:pPr>
        <w:spacing w:after="40"/>
      </w:pPr>
    </w:p>
    <w:p>
      <w:pPr>
        <w:pStyle w:val="Heading1"/>
        <w:keepNext/>
        <w:spacing w:before="280" w:after="100"/>
      </w:pPr>
      <w:r>
        <w:rPr>
          <w:rFonts w:ascii="Aptos" w:hAnsi="Aptos"/>
          <w:b/>
          <w:color w:val="000000"/>
          <w:sz w:val="32"/>
        </w:rPr>
        <w:t>3 Périmètre fonctionnel et acteurs</w:t>
      </w:r>
    </w:p>
    <w:p>
      <w:pPr>
        <w:pStyle w:val="Heading2"/>
        <w:keepNext/>
        <w:spacing w:before="200" w:after="100"/>
      </w:pPr>
      <w:r>
        <w:rPr>
          <w:rFonts w:ascii="Aptos" w:hAnsi="Aptos"/>
          <w:b/>
          <w:color w:val="000000"/>
          <w:sz w:val="25"/>
        </w:rPr>
        <w:t>Acteurs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1800"/>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Acteur</w:t>
            </w:r>
          </w:p>
        </w:tc>
        <w:tc>
          <w:tcPr>
            <w:tcW w:type="dxa" w:w="5688"/>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Responsabilités principales</w:t>
            </w:r>
          </w:p>
        </w:tc>
        <w:tc>
          <w:tcPr>
            <w:tcW w:type="dxa" w:w="2448"/>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Droits essentiels</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Client contributeur</w:t>
            </w:r>
          </w:p>
        </w:tc>
        <w:tc>
          <w:tcPr>
            <w:tcW w:type="dxa" w:w="56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Répondre, charger les pièces, corriger les éléments demandés, soumettre</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Accès limité à son dossier par lien sécurisé ou compte</w:t>
            </w:r>
          </w:p>
        </w:tc>
      </w:tr>
      <w:tr>
        <w:trPr>
          <w:cantSplit w:val="true"/>
        </w:trPr>
        <w:tc>
          <w:tcPr>
            <w:tcW w:type="dxa" w:w="180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Analyste énergie</w:t>
            </w:r>
          </w:p>
        </w:tc>
        <w:tc>
          <w:tcPr>
            <w:tcW w:type="dxa" w:w="568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Créer le dossier, examiner les réponses, compléter, qualifier les coûts cachés, construire les scénarios</w:t>
            </w:r>
          </w:p>
        </w:tc>
        <w:tc>
          <w:tcPr>
            <w:tcW w:type="dxa" w:w="244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Lecture et modification métier avec journal d'audit</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Responsable technique</w:t>
            </w:r>
          </w:p>
        </w:tc>
        <w:tc>
          <w:tcPr>
            <w:tcW w:type="dxa" w:w="56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Valider les hypothèses de réduction et la solution proposée</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Approbation des scénarios et verrouillage du calcul</w:t>
            </w:r>
          </w:p>
        </w:tc>
      </w:tr>
      <w:tr>
        <w:trPr>
          <w:cantSplit w:val="true"/>
        </w:trPr>
        <w:tc>
          <w:tcPr>
            <w:tcW w:type="dxa" w:w="180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Responsable commercial</w:t>
            </w:r>
          </w:p>
        </w:tc>
        <w:tc>
          <w:tcPr>
            <w:tcW w:type="dxa" w:w="568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Renseigner les prix, produire le devis, sélectionner les conditions commerciales</w:t>
            </w:r>
          </w:p>
        </w:tc>
        <w:tc>
          <w:tcPr>
            <w:tcW w:type="dxa" w:w="244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Accès aux scénarios approuvés et aux versions du devis</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Administrateur</w:t>
            </w:r>
          </w:p>
        </w:tc>
        <w:tc>
          <w:tcPr>
            <w:tcW w:type="dxa" w:w="56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Gérer utilisateurs, modèles de questions, modèles de rapport et paramètres</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Administration sans modification silencieuse des rapports publiés</w:t>
            </w:r>
          </w:p>
        </w:tc>
      </w:tr>
    </w:tbl>
    <w:p>
      <w:pPr>
        <w:spacing w:after="40"/>
      </w:pPr>
    </w:p>
    <w:p>
      <w:pPr>
        <w:pStyle w:val="Heading2"/>
        <w:keepNext/>
        <w:spacing w:before="200" w:after="100"/>
      </w:pPr>
      <w:r>
        <w:rPr>
          <w:rFonts w:ascii="Aptos" w:hAnsi="Aptos"/>
          <w:b/>
          <w:color w:val="000000"/>
          <w:sz w:val="25"/>
        </w:rPr>
        <w:t>Modules du produit</w:t>
      </w:r>
    </w:p>
    <w:tbl>
      <w:tblPr>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1944"/>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8"/>
              </w:rPr>
              <w:t>Module</w:t>
            </w:r>
          </w:p>
        </w:tc>
        <w:tc>
          <w:tcPr>
            <w:tcW w:type="dxa" w:w="7992"/>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8"/>
              </w:rPr>
              <w:t>Fonctions</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Dossiers</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Créer, affecter, filtrer, rechercher, dupliquer, archiver et suivre la progression</w:t>
            </w:r>
          </w:p>
        </w:tc>
      </w:tr>
      <w:tr>
        <w:trPr>
          <w:cantSplit w:val="true"/>
        </w:trPr>
        <w:tc>
          <w:tcPr>
            <w:tcW w:type="dxa" w:w="194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Collecte</w:t>
            </w:r>
          </w:p>
        </w:tc>
        <w:tc>
          <w:tcPr>
            <w:tcW w:type="dxa" w:w="799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Lien client, formulaire adaptatif, autosauvegarde, pièces, commentaires et relances</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Complétude</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Questions manquantes, périodes absentes, incohérences, preuves manquantes et niveau de confiance</w:t>
            </w:r>
          </w:p>
        </w:tc>
      </w:tr>
      <w:tr>
        <w:trPr>
          <w:cantSplit w:val="true"/>
        </w:trPr>
        <w:tc>
          <w:tcPr>
            <w:tcW w:type="dxa" w:w="194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Diagnostic</w:t>
            </w:r>
          </w:p>
        </w:tc>
        <w:tc>
          <w:tcPr>
            <w:tcW w:type="dxa" w:w="799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Normalisation annuelle, coûts visibles et cachés, graphiques et explication des formules</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Scénarios</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Solutions, réduction par poste, investissement, économies, retour simple, TCO et sensibilité</w:t>
            </w:r>
          </w:p>
        </w:tc>
      </w:tr>
      <w:tr>
        <w:trPr>
          <w:cantSplit w:val="true"/>
        </w:trPr>
        <w:tc>
          <w:tcPr>
            <w:tcW w:type="dxa" w:w="194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Rapports</w:t>
            </w:r>
          </w:p>
        </w:tc>
        <w:tc>
          <w:tcPr>
            <w:tcW w:type="dxa" w:w="799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Aperçu, validation, génération PDF, version, téléchargement et publication</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Devis</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Catalogue de composants, prix, quantités, remises, taxes, validité et lien vers le scénario</w:t>
            </w:r>
          </w:p>
        </w:tc>
      </w:tr>
      <w:tr>
        <w:trPr>
          <w:cantSplit w:val="true"/>
        </w:trPr>
        <w:tc>
          <w:tcPr>
            <w:tcW w:type="dxa" w:w="194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Administration</w:t>
            </w:r>
          </w:p>
        </w:tc>
        <w:tc>
          <w:tcPr>
            <w:tcW w:type="dxa" w:w="799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Utilisateurs, rôles, règles, modèles, unités, devises, audit et supervision des jobs</w:t>
            </w:r>
          </w:p>
        </w:tc>
      </w:tr>
    </w:tbl>
    <w:p>
      <w:pPr>
        <w:spacing w:after="40"/>
      </w:pPr>
    </w:p>
    <w:p>
      <w:pPr>
        <w:pStyle w:val="Heading1"/>
        <w:keepNext/>
        <w:spacing w:before="280" w:after="100"/>
      </w:pPr>
      <w:r>
        <w:rPr>
          <w:rFonts w:ascii="Aptos" w:hAnsi="Aptos"/>
          <w:b/>
          <w:color w:val="000000"/>
          <w:sz w:val="32"/>
        </w:rPr>
        <w:t>4 Parcours métier cible</w:t>
      </w:r>
    </w:p>
    <w:p>
      <w:pPr>
        <w:pStyle w:val="Heading2"/>
        <w:keepNext/>
        <w:spacing w:before="200" w:after="100"/>
      </w:pPr>
      <w:r>
        <w:rPr>
          <w:rFonts w:ascii="Aptos" w:hAnsi="Aptos"/>
          <w:b/>
          <w:color w:val="000000"/>
          <w:sz w:val="25"/>
        </w:rPr>
        <w:t>Cycle de vie du dossier</w:t>
      </w:r>
    </w:p>
    <w:tbl>
      <w:tblPr>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1655"/>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Statut</w:t>
            </w:r>
          </w:p>
        </w:tc>
        <w:tc>
          <w:tcPr>
            <w:tcW w:type="dxa" w:w="3168"/>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Entrée</w:t>
            </w:r>
          </w:p>
        </w:tc>
        <w:tc>
          <w:tcPr>
            <w:tcW w:type="dxa" w:w="5112"/>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Sortie attendue</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Brouillon</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Dossier créé</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Entreprise, site, périmètre et contacts renseignés</w:t>
            </w:r>
          </w:p>
        </w:tc>
      </w:tr>
      <w:tr>
        <w:trPr>
          <w:cantSplit w:val="true"/>
        </w:trPr>
        <w:tc>
          <w:tcPr>
            <w:tcW w:type="dxa" w:w="1655"/>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Collecte en cours</w:t>
            </w:r>
          </w:p>
        </w:tc>
        <w:tc>
          <w:tcPr>
            <w:tcW w:type="dxa" w:w="316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Lien envoyé</w:t>
            </w:r>
          </w:p>
        </w:tc>
        <w:tc>
          <w:tcPr>
            <w:tcW w:type="dxa" w:w="511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Réponses sauvegardées et pièces déposées</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Soumis</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Client confirme</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Jeu de réponses figé pour contrôle</w:t>
            </w:r>
          </w:p>
        </w:tc>
      </w:tr>
      <w:tr>
        <w:trPr>
          <w:cantSplit w:val="true"/>
        </w:trPr>
        <w:tc>
          <w:tcPr>
            <w:tcW w:type="dxa" w:w="1655"/>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À compléter</w:t>
            </w:r>
          </w:p>
        </w:tc>
        <w:tc>
          <w:tcPr>
            <w:tcW w:type="dxa" w:w="316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Blocage ou incohérence</w:t>
            </w:r>
          </w:p>
        </w:tc>
        <w:tc>
          <w:tcPr>
            <w:tcW w:type="dxa" w:w="511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Demande ciblée envoyée au client ou saisie par l'analyste</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En revue</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Données suffisantes</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Hypothèses métier validées et sources qualifiées</w:t>
            </w:r>
          </w:p>
        </w:tc>
      </w:tr>
      <w:tr>
        <w:trPr>
          <w:cantSplit w:val="true"/>
        </w:trPr>
        <w:tc>
          <w:tcPr>
            <w:tcW w:type="dxa" w:w="1655"/>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Calculé</w:t>
            </w:r>
          </w:p>
        </w:tc>
        <w:tc>
          <w:tcPr>
            <w:tcW w:type="dxa" w:w="316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Moteur exécuté</w:t>
            </w:r>
          </w:p>
        </w:tc>
        <w:tc>
          <w:tcPr>
            <w:tcW w:type="dxa" w:w="511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Baseline, scénarios et contrôles automatiques disponibles</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Approuvé</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Validation technique</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Snapshot verrouillé et prêt pour publication</w:t>
            </w:r>
          </w:p>
        </w:tc>
      </w:tr>
      <w:tr>
        <w:trPr>
          <w:cantSplit w:val="true"/>
        </w:trPr>
        <w:tc>
          <w:tcPr>
            <w:tcW w:type="dxa" w:w="1655"/>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Publié</w:t>
            </w:r>
          </w:p>
        </w:tc>
        <w:tc>
          <w:tcPr>
            <w:tcW w:type="dxa" w:w="316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PDF généré et contrôlé</w:t>
            </w:r>
          </w:p>
        </w:tc>
        <w:tc>
          <w:tcPr>
            <w:tcW w:type="dxa" w:w="511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Rapport accessible, daté et traçable</w:t>
            </w:r>
          </w:p>
        </w:tc>
      </w:tr>
    </w:tbl>
    <w:p>
      <w:pPr>
        <w:spacing w:after="40"/>
      </w:pPr>
    </w:p>
    <w:p>
      <w:pPr>
        <w:spacing w:after="120" w:line="269" w:lineRule="auto"/>
      </w:pPr>
      <w:r>
        <w:rPr>
          <w:rFonts w:ascii="Aptos" w:hAnsi="Aptos"/>
          <w:b w:val="0"/>
          <w:i w:val="0"/>
          <w:color w:val="202724"/>
          <w:sz w:val="21"/>
        </w:rPr>
        <w:t>Un dossier peut revenir à l'étape À compléter tant qu'il n'est pas publié. Après publication, toute correction crée une nouvelle version du calcul et du rapport au lieu de modifier l'ancienne.</w:t>
      </w:r>
    </w:p>
    <w:p>
      <w:pPr>
        <w:pStyle w:val="Heading2"/>
        <w:keepNext/>
        <w:spacing w:before="200" w:after="100"/>
      </w:pPr>
      <w:r>
        <w:rPr>
          <w:rFonts w:ascii="Aptos" w:hAnsi="Aptos"/>
          <w:b/>
          <w:color w:val="000000"/>
          <w:sz w:val="25"/>
        </w:rPr>
        <w:t>Expérience back-office</w:t>
      </w:r>
    </w:p>
    <w:p>
      <w:pPr>
        <w:pStyle w:val="ListBullet"/>
        <w:spacing w:after="60" w:line="259" w:lineRule="auto"/>
      </w:pPr>
      <w:r>
        <w:rPr>
          <w:rFonts w:ascii="Aptos" w:hAnsi="Aptos"/>
          <w:b w:val="0"/>
          <w:color w:val="202724"/>
          <w:sz w:val="21"/>
        </w:rPr>
        <w:t>Vue liste par client et par site avec statut, progression, analyste, date de dernière activité et prochain blocage.</w:t>
      </w:r>
    </w:p>
    <w:p>
      <w:pPr>
        <w:pStyle w:val="ListBullet"/>
        <w:spacing w:after="60" w:line="259" w:lineRule="auto"/>
      </w:pPr>
      <w:r>
        <w:rPr>
          <w:rFonts w:ascii="Aptos" w:hAnsi="Aptos"/>
          <w:b w:val="0"/>
          <w:color w:val="202724"/>
          <w:sz w:val="21"/>
        </w:rPr>
        <w:t>Fiche dossier avec navigation fixe : résumé, collecte, pièces, coûts, scénarios, rapport, devis, activité.</w:t>
      </w:r>
    </w:p>
    <w:p>
      <w:pPr>
        <w:pStyle w:val="ListBullet"/>
        <w:spacing w:after="60" w:line="259" w:lineRule="auto"/>
      </w:pPr>
      <w:r>
        <w:rPr>
          <w:rFonts w:ascii="Aptos" w:hAnsi="Aptos"/>
          <w:b w:val="0"/>
          <w:color w:val="202724"/>
          <w:sz w:val="21"/>
        </w:rPr>
        <w:t>Panneau Ce qui manque distinguant les blocages obligatoires, les avertissements et les améliorations facultatives.</w:t>
      </w:r>
    </w:p>
    <w:p>
      <w:pPr>
        <w:pStyle w:val="ListBullet"/>
        <w:spacing w:after="60" w:line="259" w:lineRule="auto"/>
      </w:pPr>
      <w:r>
        <w:rPr>
          <w:rFonts w:ascii="Aptos" w:hAnsi="Aptos"/>
          <w:b w:val="0"/>
          <w:color w:val="202724"/>
          <w:sz w:val="21"/>
        </w:rPr>
        <w:t>Mode Compléter au nom du client exigeant une source et conservant l'auteur, la date et l'ancienne valeur.</w:t>
      </w:r>
    </w:p>
    <w:p>
      <w:pPr>
        <w:pStyle w:val="ListBullet"/>
        <w:spacing w:after="60" w:line="259" w:lineRule="auto"/>
      </w:pPr>
      <w:r>
        <w:rPr>
          <w:rFonts w:ascii="Aptos" w:hAnsi="Aptos"/>
          <w:b w:val="0"/>
          <w:color w:val="202724"/>
          <w:sz w:val="21"/>
        </w:rPr>
        <w:t>Aperçu des chiffres annualisés à côté des données brutes afin de détecter immédiatement une erreur d'unité ou de période.</w:t>
      </w:r>
    </w:p>
    <w:p>
      <w:pPr>
        <w:pStyle w:val="Heading1"/>
        <w:keepNext/>
        <w:spacing w:before="280" w:after="100"/>
      </w:pPr>
      <w:r>
        <w:rPr>
          <w:rFonts w:ascii="Aptos" w:hAnsi="Aptos"/>
          <w:b/>
          <w:color w:val="000000"/>
          <w:sz w:val="32"/>
        </w:rPr>
        <w:t>5 Formulaire adaptatif et collecte optimale</w:t>
      </w:r>
    </w:p>
    <w:p>
      <w:r>
        <w:drawing>
          <wp:inline xmlns:a="http://schemas.openxmlformats.org/drawingml/2006/main" xmlns:pic="http://schemas.openxmlformats.org/drawingml/2006/picture">
            <wp:extent cx="6263640" cy="3250397"/>
            <wp:docPr id="2" name="Picture 2"/>
            <wp:cNvGraphicFramePr>
              <a:graphicFrameLocks noChangeAspect="1"/>
            </wp:cNvGraphicFramePr>
            <a:graphic>
              <a:graphicData uri="http://schemas.openxmlformats.org/drawingml/2006/picture">
                <pic:pic>
                  <pic:nvPicPr>
                    <pic:cNvPr id="0" name="flow_form.png"/>
                    <pic:cNvPicPr/>
                  </pic:nvPicPr>
                  <pic:blipFill>
                    <a:blip r:embed="rId12"/>
                    <a:stretch>
                      <a:fillRect/>
                    </a:stretch>
                  </pic:blipFill>
                  <pic:spPr>
                    <a:xfrm>
                      <a:off x="0" y="0"/>
                      <a:ext cx="6263640" cy="3250397"/>
                    </a:xfrm>
                    <a:prstGeom prst="rect"/>
                  </pic:spPr>
                </pic:pic>
              </a:graphicData>
            </a:graphic>
          </wp:inline>
        </w:drawing>
      </w:r>
    </w:p>
    <w:p>
      <w:pPr>
        <w:jc w:val="center"/>
      </w:pPr>
      <w:r>
        <w:t>Figure 2  Logique conditionnelle de collecte</w:t>
      </w:r>
      <w:r>
        <w:rPr>
          <w:rFonts w:ascii="Aptos" w:hAnsi="Aptos"/>
          <w:b w:val="0"/>
          <w:color w:val="5A6660"/>
          <w:sz w:val="17"/>
        </w:rPr>
      </w:r>
    </w:p>
    <w:p>
      <w:pPr>
        <w:pStyle w:val="Heading2"/>
        <w:keepNext/>
        <w:spacing w:before="200" w:after="100"/>
      </w:pPr>
      <w:r>
        <w:rPr>
          <w:rFonts w:ascii="Aptos" w:hAnsi="Aptos"/>
          <w:b/>
          <w:color w:val="000000"/>
          <w:sz w:val="25"/>
        </w:rPr>
        <w:t>Principes UX</w:t>
      </w:r>
    </w:p>
    <w:p>
      <w:pPr>
        <w:pStyle w:val="ListBullet"/>
        <w:spacing w:after="60" w:line="259" w:lineRule="auto"/>
      </w:pPr>
      <w:r>
        <w:rPr>
          <w:rFonts w:ascii="Aptos" w:hAnsi="Aptos"/>
          <w:b w:val="0"/>
          <w:color w:val="202724"/>
          <w:sz w:val="21"/>
        </w:rPr>
        <w:t>Commencer par des questions simples et observables, puis demander les chiffres uniquement lorsque le sujet s'applique.</w:t>
      </w:r>
    </w:p>
    <w:p>
      <w:pPr>
        <w:pStyle w:val="ListBullet"/>
        <w:spacing w:after="60" w:line="259" w:lineRule="auto"/>
      </w:pPr>
      <w:r>
        <w:rPr>
          <w:rFonts w:ascii="Aptos" w:hAnsi="Aptos"/>
          <w:b w:val="0"/>
          <w:color w:val="202724"/>
          <w:sz w:val="21"/>
        </w:rPr>
        <w:t>Limiter chaque étape à un objectif clair et à environ cinq à huit champs visibles.</w:t>
      </w:r>
    </w:p>
    <w:p>
      <w:pPr>
        <w:pStyle w:val="ListBullet"/>
        <w:spacing w:after="60" w:line="259" w:lineRule="auto"/>
      </w:pPr>
      <w:r>
        <w:rPr>
          <w:rFonts w:ascii="Aptos" w:hAnsi="Aptos"/>
          <w:b w:val="0"/>
          <w:color w:val="202724"/>
          <w:sz w:val="21"/>
        </w:rPr>
        <w:t>Autosauvegarder après chaque réponse et permettre de reprendre sur mobile avec une connexion instable.</w:t>
      </w:r>
    </w:p>
    <w:p>
      <w:pPr>
        <w:pStyle w:val="ListBullet"/>
        <w:spacing w:after="60" w:line="259" w:lineRule="auto"/>
      </w:pPr>
      <w:r>
        <w:rPr>
          <w:rFonts w:ascii="Aptos" w:hAnsi="Aptos"/>
          <w:b w:val="0"/>
          <w:color w:val="202724"/>
          <w:sz w:val="21"/>
        </w:rPr>
        <w:t>Proposer les choix Je ne sais pas et À confirmer. Ils créent une tâche de suivi au lieu d'inventer une valeur.</w:t>
      </w:r>
    </w:p>
    <w:p>
      <w:pPr>
        <w:pStyle w:val="ListBullet"/>
        <w:spacing w:after="60" w:line="259" w:lineRule="auto"/>
      </w:pPr>
      <w:r>
        <w:rPr>
          <w:rFonts w:ascii="Aptos" w:hAnsi="Aptos"/>
          <w:b w:val="0"/>
          <w:color w:val="202724"/>
          <w:sz w:val="21"/>
        </w:rPr>
        <w:t>Afficher les unités dans le champ, jamais seulement dans le libellé, et mémoriser l'unité réellement saisie.</w:t>
      </w:r>
    </w:p>
    <w:p>
      <w:pPr>
        <w:pStyle w:val="ListBullet"/>
        <w:spacing w:after="60" w:line="259" w:lineRule="auto"/>
      </w:pPr>
      <w:r>
        <w:rPr>
          <w:rFonts w:ascii="Aptos" w:hAnsi="Aptos"/>
          <w:b w:val="0"/>
          <w:color w:val="202724"/>
          <w:sz w:val="21"/>
        </w:rPr>
        <w:t>Montrer un résumé avant soumission avec les montants annualisés et les hypothèses que le client confirme.</w:t>
      </w:r>
    </w:p>
    <w:p>
      <w:pPr>
        <w:pStyle w:val="ListBullet"/>
        <w:spacing w:after="60" w:line="259" w:lineRule="auto"/>
      </w:pPr>
      <w:r>
        <w:rPr>
          <w:rFonts w:ascii="Aptos" w:hAnsi="Aptos"/>
          <w:b w:val="0"/>
          <w:color w:val="202724"/>
          <w:sz w:val="21"/>
        </w:rPr>
        <w:t>Séparer la progression visuelle du droit à générer : un dossier peut être à 95 pour cent et rester bloqué par une seule donnée critique.</w:t>
      </w:r>
    </w:p>
    <w:p>
      <w:pPr>
        <w:pStyle w:val="Heading2"/>
        <w:keepNext/>
        <w:spacing w:before="200" w:after="100"/>
      </w:pPr>
      <w:r>
        <w:rPr>
          <w:rFonts w:ascii="Aptos" w:hAnsi="Aptos"/>
          <w:b/>
          <w:color w:val="000000"/>
          <w:sz w:val="25"/>
        </w:rPr>
        <w:t>Séquence recommandée du formulaire</w:t>
      </w:r>
    </w:p>
    <w:tbl>
      <w:tblPr>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1728"/>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Étape</w:t>
            </w:r>
          </w:p>
        </w:tc>
        <w:tc>
          <w:tcPr>
            <w:tcW w:type="dxa" w:w="4752"/>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Données collectées</w:t>
            </w:r>
          </w:p>
        </w:tc>
        <w:tc>
          <w:tcPr>
            <w:tcW w:type="dxa" w:w="3456"/>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Comportement adaptatif</w:t>
            </w:r>
          </w:p>
        </w:tc>
      </w:tr>
      <w:tr>
        <w:trPr>
          <w:cantSplit w:val="true"/>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1 Entreprise et site</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Identité, localisation, contact, secteur, horaires, devise</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Préremplissage par le dossier</w:t>
            </w:r>
          </w:p>
        </w:tc>
      </w:tr>
      <w:tr>
        <w:trPr>
          <w:cantSplit w:val="true"/>
        </w:trPr>
        <w:tc>
          <w:tcPr>
            <w:tcW w:type="dxa" w:w="17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2 Production</w:t>
            </w:r>
          </w:p>
        </w:tc>
        <w:tc>
          <w:tcPr>
            <w:tcW w:type="dxa" w:w="475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Produit, unité, cadence, marge unitaire, capacité actuelle et future</w:t>
            </w:r>
          </w:p>
        </w:tc>
        <w:tc>
          <w:tcPr>
            <w:tcW w:type="dxa" w:w="3456"/>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Demander la marge contributive, pas le chiffre d'affaires</w:t>
            </w:r>
          </w:p>
        </w:tc>
      </w:tr>
      <w:tr>
        <w:trPr>
          <w:cantSplit w:val="true"/>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3 Électricité réseau</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12 factures consécutives, montants, kWh, puissance, pénalités</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Table mensuelle et chargement des factures</w:t>
            </w:r>
          </w:p>
        </w:tc>
      </w:tr>
      <w:tr>
        <w:trPr>
          <w:cantSplit w:val="true"/>
        </w:trPr>
        <w:tc>
          <w:tcPr>
            <w:tcW w:type="dxa" w:w="17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4 Groupe et carburant</w:t>
            </w:r>
          </w:p>
        </w:tc>
        <w:tc>
          <w:tcPr>
            <w:tcW w:type="dxa" w:w="475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Autostart, délai, litres, prix, périodes, maintenance</w:t>
            </w:r>
          </w:p>
        </w:tc>
        <w:tc>
          <w:tcPr>
            <w:tcW w:type="dxa" w:w="3456"/>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Questions cachées si aucun groupe</w:t>
            </w:r>
          </w:p>
        </w:tc>
      </w:tr>
      <w:tr>
        <w:trPr>
          <w:cantSplit w:val="true"/>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5 Coupures</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Fréquence, durée, périodes, étapes critiques, capacité de rattrapage</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Proposer fréquence observée ou estimation documentée</w:t>
            </w:r>
          </w:p>
        </w:tc>
      </w:tr>
      <w:tr>
        <w:trPr>
          <w:cantSplit w:val="true"/>
        </w:trPr>
        <w:tc>
          <w:tcPr>
            <w:tcW w:type="dxa" w:w="17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6 Coûts cachés</w:t>
            </w:r>
          </w:p>
        </w:tc>
        <w:tc>
          <w:tcPr>
            <w:tcW w:type="dxa" w:w="475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Production, matières, personnel, rework, commandes ou pénalités</w:t>
            </w:r>
          </w:p>
        </w:tc>
        <w:tc>
          <w:tcPr>
            <w:tcW w:type="dxa" w:w="3456"/>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Un sous-formulaire seulement après une réponse d'applicabilité positive</w:t>
            </w:r>
          </w:p>
        </w:tc>
      </w:tr>
      <w:tr>
        <w:trPr>
          <w:cantSplit w:val="true"/>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7 Projet et croissance</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Extension, contraintes, objectifs d'autonomie, budget et calendrier</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Distinguer besoin actuel et cible future</w:t>
            </w:r>
          </w:p>
        </w:tc>
      </w:tr>
      <w:tr>
        <w:trPr>
          <w:cantSplit w:val="true"/>
        </w:trPr>
        <w:tc>
          <w:tcPr>
            <w:tcW w:type="dxa" w:w="17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8 Vérification</w:t>
            </w:r>
          </w:p>
        </w:tc>
        <w:tc>
          <w:tcPr>
            <w:tcW w:type="dxa" w:w="475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Résumé, pièces manquantes, consentement et soumission</w:t>
            </w:r>
          </w:p>
        </w:tc>
        <w:tc>
          <w:tcPr>
            <w:tcW w:type="dxa" w:w="3456"/>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Bloquer uniquement sur les données nécessaires au calcul</w:t>
            </w:r>
          </w:p>
        </w:tc>
      </w:tr>
    </w:tbl>
    <w:p>
      <w:pPr>
        <w:spacing w:after="40"/>
      </w:pPr>
    </w:p>
    <w:p>
      <w:pPr>
        <w:pStyle w:val="Heading2"/>
        <w:keepNext/>
        <w:spacing w:before="200" w:after="100"/>
      </w:pPr>
      <w:r>
        <w:rPr>
          <w:rFonts w:ascii="Aptos" w:hAnsi="Aptos"/>
          <w:b/>
          <w:color w:val="000000"/>
          <w:sz w:val="25"/>
        </w:rPr>
        <w:t>Questions intelligentes pour révéler les coûts cachés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3528"/>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Question de qualification</w:t>
            </w:r>
          </w:p>
        </w:tc>
        <w:tc>
          <w:tcPr>
            <w:tcW w:type="dxa" w:w="3528"/>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Si oui demander</w:t>
            </w:r>
          </w:p>
        </w:tc>
        <w:tc>
          <w:tcPr>
            <w:tcW w:type="dxa" w:w="2880"/>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Règle de prudence</w:t>
            </w:r>
          </w:p>
        </w:tc>
      </w:tr>
      <w:tr>
        <w:trPr>
          <w:cantSplit w:val="true"/>
        </w:trPr>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Une coupure arrête-t-elle tout ou partie de la production</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Cadence affectée, durée effective, nombre d'événements, marge par unité</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Déduire la production rattrapée plus tard</w:t>
            </w:r>
          </w:p>
        </w:tc>
      </w:tr>
      <w:tr>
        <w:trPr>
          <w:cantSplit w:val="true"/>
        </w:trPr>
        <w:tc>
          <w:tcPr>
            <w:tcW w:type="dxa" w:w="35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Une coupure entraîne-t-elle un rebut ou une matière irrécupérable</w:t>
            </w:r>
          </w:p>
        </w:tc>
        <w:tc>
          <w:tcPr>
            <w:tcW w:type="dxa" w:w="35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Quantité moyenne perdue, coût unitaire, récupération possible</w:t>
            </w:r>
          </w:p>
        </w:tc>
        <w:tc>
          <w:tcPr>
            <w:tcW w:type="dxa" w:w="288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Ne pas compter la matière déjà incluse dans une marge nette</w:t>
            </w:r>
          </w:p>
        </w:tc>
      </w:tr>
      <w:tr>
        <w:trPr>
          <w:cantSplit w:val="true"/>
        </w:trPr>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Le groupe démarre-t-il automatiquement</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Délai de démarrage, fréquence des échecs, temps de reprise</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Calculer uniquement le délai réellement productif perdu</w:t>
            </w:r>
          </w:p>
        </w:tc>
      </w:tr>
      <w:tr>
        <w:trPr>
          <w:cantSplit w:val="true"/>
        </w:trPr>
        <w:tc>
          <w:tcPr>
            <w:tcW w:type="dxa" w:w="35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Des salariés restent-ils sans tâche alternative</w:t>
            </w:r>
          </w:p>
        </w:tc>
        <w:tc>
          <w:tcPr>
            <w:tcW w:type="dxa" w:w="35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Effectif, durée, coût horaire chargé, taux de redéploiement</w:t>
            </w:r>
          </w:p>
        </w:tc>
        <w:tc>
          <w:tcPr>
            <w:tcW w:type="dxa" w:w="288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Éviter le double comptage avec la marge unitaire</w:t>
            </w:r>
          </w:p>
        </w:tc>
      </w:tr>
      <w:tr>
        <w:trPr>
          <w:cantSplit w:val="true"/>
        </w:trPr>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La facture contient-elle une pénalité ou un dépassement de puissance</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Montant de la ligne, puissance souscrite et appelée</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Si transformateur sans pénalité, marquer non applicable</w:t>
            </w:r>
          </w:p>
        </w:tc>
      </w:tr>
      <w:tr>
        <w:trPr>
          <w:cantSplit w:val="true"/>
        </w:trPr>
        <w:tc>
          <w:tcPr>
            <w:tcW w:type="dxa" w:w="35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Une interruption crée-t-elle du retard, du rework ou une pénalité client</w:t>
            </w:r>
          </w:p>
        </w:tc>
        <w:tc>
          <w:tcPr>
            <w:tcW w:type="dxa" w:w="35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Nombre, coût moyen et preuve</w:t>
            </w:r>
          </w:p>
        </w:tc>
        <w:tc>
          <w:tcPr>
            <w:tcW w:type="dxa" w:w="288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Séparer la perte certaine de la perte potentielle</w:t>
            </w:r>
          </w:p>
        </w:tc>
      </w:tr>
    </w:tbl>
    <w:p>
      <w:pPr>
        <w:spacing w:after="40"/>
      </w:pPr>
    </w:p>
    <w:p>
      <w:pPr>
        <w:pStyle w:val="Heading2"/>
        <w:keepNext/>
        <w:spacing w:before="200" w:after="100"/>
      </w:pPr>
      <w:r>
        <w:rPr>
          <w:rFonts w:ascii="Aptos" w:hAnsi="Aptos"/>
          <w:b/>
          <w:color w:val="000000"/>
          <w:sz w:val="25"/>
        </w:rPr>
        <w:t>Catalogue minimal de champs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1800"/>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Bloc</w:t>
            </w:r>
          </w:p>
        </w:tc>
        <w:tc>
          <w:tcPr>
            <w:tcW w:type="dxa" w:w="5616"/>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Champs clés</w:t>
            </w:r>
          </w:p>
        </w:tc>
        <w:tc>
          <w:tcPr>
            <w:tcW w:type="dxa" w:w="2520"/>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Source préférée</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Factures réseau</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Mois, montant TTC ou HT choisi, énergie kWh, puissance appelée, pénalité</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Facture et saisie contrôlée</w:t>
            </w:r>
          </w:p>
        </w:tc>
      </w:tr>
      <w:tr>
        <w:trPr>
          <w:cantSplit w:val="true"/>
        </w:trPr>
        <w:tc>
          <w:tcPr>
            <w:tcW w:type="dxa" w:w="180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Diesel</w:t>
            </w:r>
          </w:p>
        </w:tc>
        <w:tc>
          <w:tcPr>
            <w:tcW w:type="dxa" w:w="5616"/>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Période, litres, prix unitaire, montant, usage réseau ou secours</w:t>
            </w:r>
          </w:p>
        </w:tc>
        <w:tc>
          <w:tcPr>
            <w:tcW w:type="dxa" w:w="252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Journal carburant ou facture</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Maintenance</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Date, type, montant, équipement, fréquence</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Facture ou contrat</w:t>
            </w:r>
          </w:p>
        </w:tc>
      </w:tr>
      <w:tr>
        <w:trPr>
          <w:cantSplit w:val="true"/>
        </w:trPr>
        <w:tc>
          <w:tcPr>
            <w:tcW w:type="dxa" w:w="180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Production</w:t>
            </w:r>
          </w:p>
        </w:tc>
        <w:tc>
          <w:tcPr>
            <w:tcW w:type="dxa" w:w="5616"/>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Unités par heure, marge contributive, taux d'utilisation, taux de rattrapage</w:t>
            </w:r>
          </w:p>
        </w:tc>
        <w:tc>
          <w:tcPr>
            <w:tcW w:type="dxa" w:w="252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ERP, production ou estimation validée</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Coupures</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Nombre, durée, fenêtre, origine, ligne affectée</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Journal d'incidents ou estimation</w:t>
            </w:r>
          </w:p>
        </w:tc>
      </w:tr>
      <w:tr>
        <w:trPr>
          <w:cantSplit w:val="true"/>
        </w:trPr>
        <w:tc>
          <w:tcPr>
            <w:tcW w:type="dxa" w:w="180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Personnel</w:t>
            </w:r>
          </w:p>
        </w:tc>
        <w:tc>
          <w:tcPr>
            <w:tcW w:type="dxa" w:w="5616"/>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Effectif, coût horaire chargé, part immobilisée, redéploiement</w:t>
            </w:r>
          </w:p>
        </w:tc>
        <w:tc>
          <w:tcPr>
            <w:tcW w:type="dxa" w:w="252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Paie agrégée ou estimation</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Matières</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Quantité rebutée, coût unitaire, récupération</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Production ou qualité</w:t>
            </w:r>
          </w:p>
        </w:tc>
      </w:tr>
      <w:tr>
        <w:trPr>
          <w:cantSplit w:val="true"/>
        </w:trPr>
        <w:tc>
          <w:tcPr>
            <w:tcW w:type="dxa" w:w="180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Projet</w:t>
            </w:r>
          </w:p>
        </w:tc>
        <w:tc>
          <w:tcPr>
            <w:tcW w:type="dxa" w:w="5616"/>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Capacité cible, date, autonomie, contraintes, investissement</w:t>
            </w:r>
          </w:p>
        </w:tc>
        <w:tc>
          <w:tcPr>
            <w:tcW w:type="dxa" w:w="252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Étude technique</w:t>
            </w:r>
          </w:p>
        </w:tc>
      </w:tr>
    </w:tbl>
    <w:p>
      <w:pPr>
        <w:spacing w:after="40"/>
      </w:pPr>
    </w:p>
    <w:p>
      <w:pPr>
        <w:pStyle w:val="Heading2"/>
        <w:keepNext/>
        <w:spacing w:before="200" w:after="100"/>
      </w:pPr>
      <w:r>
        <w:rPr>
          <w:rFonts w:ascii="Aptos" w:hAnsi="Aptos"/>
          <w:b/>
          <w:color w:val="000000"/>
          <w:sz w:val="25"/>
        </w:rPr>
        <w:t>Pièces et OCR</w:t>
      </w:r>
    </w:p>
    <w:p>
      <w:pPr>
        <w:spacing w:after="120" w:line="269" w:lineRule="auto"/>
      </w:pPr>
      <w:r>
        <w:rPr>
          <w:rFonts w:ascii="Aptos" w:hAnsi="Aptos"/>
          <w:b w:val="0"/>
          <w:i w:val="0"/>
          <w:color w:val="202724"/>
          <w:sz w:val="21"/>
        </w:rPr>
        <w:t>Le MVP doit accepter les PDF et images mais conserver une saisie humaine simple. L'OCR ne doit pas être un prérequis au lancement : les formats de factures et leur qualité peuvent varier. Une deuxième phase peut préremplir le mois, le montant, les kWh et les pénalités avec un score de confiance, puis exiger une validation humaine avant d'intégrer la valeur au calcul.</w:t>
      </w:r>
    </w:p>
    <w:tbl>
      <w:tblPr>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1655"/>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8"/>
              </w:rPr>
              <w:t>Niveau</w:t>
            </w:r>
          </w:p>
        </w:tc>
        <w:tc>
          <w:tcPr>
            <w:tcW w:type="dxa" w:w="8280"/>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8"/>
              </w:rPr>
              <w:t>Comportement</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MVP</w:t>
            </w:r>
          </w:p>
        </w:tc>
        <w:tc>
          <w:tcPr>
            <w:tcW w:type="dxa" w:w="82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Chargement, aperçu, renommage, rattachement à une période et saisie manuelle assistée</w:t>
            </w:r>
          </w:p>
        </w:tc>
      </w:tr>
      <w:tr>
        <w:trPr>
          <w:cantSplit w:val="true"/>
        </w:trPr>
        <w:tc>
          <w:tcPr>
            <w:tcW w:type="dxa" w:w="1655"/>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Phase 2</w:t>
            </w:r>
          </w:p>
        </w:tc>
        <w:tc>
          <w:tcPr>
            <w:tcW w:type="dxa" w:w="828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OCR asynchrone, extraction de champs, confiance, surlignage de la zone source et validation</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Phase 3</w:t>
            </w:r>
          </w:p>
        </w:tc>
        <w:tc>
          <w:tcPr>
            <w:tcW w:type="dxa" w:w="82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Détection des doublons, rapprochement automatique et import CSV ou ERP</w:t>
            </w:r>
          </w:p>
        </w:tc>
      </w:tr>
    </w:tbl>
    <w:p>
      <w:pPr>
        <w:spacing w:after="40"/>
      </w:pPr>
    </w:p>
    <w:p>
      <w:pPr>
        <w:pStyle w:val="Heading1"/>
        <w:keepNext/>
        <w:spacing w:before="280" w:after="100"/>
      </w:pPr>
      <w:r>
        <w:rPr>
          <w:rFonts w:ascii="Aptos" w:hAnsi="Aptos"/>
          <w:b/>
          <w:color w:val="000000"/>
          <w:sz w:val="32"/>
        </w:rPr>
        <w:t>6 Modèle de calcul et règles de gestion</w:t>
      </w:r>
    </w:p>
    <w:p>
      <w:pPr>
        <w:pStyle w:val="Heading2"/>
        <w:keepNext/>
        <w:spacing w:before="200" w:after="100"/>
      </w:pPr>
      <w:r>
        <w:rPr>
          <w:rFonts w:ascii="Aptos" w:hAnsi="Aptos"/>
          <w:b/>
          <w:color w:val="000000"/>
          <w:sz w:val="25"/>
        </w:rPr>
        <w:t>Principes du moteur</w:t>
      </w:r>
    </w:p>
    <w:p>
      <w:pPr>
        <w:pStyle w:val="ListBullet"/>
        <w:spacing w:after="60" w:line="259" w:lineRule="auto"/>
      </w:pPr>
      <w:r>
        <w:rPr>
          <w:rFonts w:ascii="Aptos" w:hAnsi="Aptos"/>
          <w:b w:val="0"/>
          <w:color w:val="202724"/>
          <w:sz w:val="21"/>
        </w:rPr>
        <w:t>Toutes les formules sont des fonctions déterministes recevant des entrées typées et produisant des résultats typés.</w:t>
      </w:r>
    </w:p>
    <w:p>
      <w:pPr>
        <w:pStyle w:val="ListBullet"/>
        <w:spacing w:after="60" w:line="259" w:lineRule="auto"/>
      </w:pPr>
      <w:r>
        <w:rPr>
          <w:rFonts w:ascii="Aptos" w:hAnsi="Aptos"/>
          <w:b w:val="0"/>
          <w:color w:val="202724"/>
          <w:sz w:val="21"/>
        </w:rPr>
        <w:t>Les montants sont stockés en NUMERIC ou en unités monétaires entières selon la devise. Aucun calcul financier ne repose sur un float JavaScript.</w:t>
      </w:r>
    </w:p>
    <w:p>
      <w:pPr>
        <w:pStyle w:val="ListBullet"/>
        <w:spacing w:after="60" w:line="259" w:lineRule="auto"/>
      </w:pPr>
      <w:r>
        <w:rPr>
          <w:rFonts w:ascii="Aptos" w:hAnsi="Aptos"/>
          <w:b w:val="0"/>
          <w:color w:val="202724"/>
          <w:sz w:val="21"/>
        </w:rPr>
        <w:t>Chaque résultat conserve sa formule, ses variables, son unité, sa source et la version du moteur.</w:t>
      </w:r>
    </w:p>
    <w:p>
      <w:pPr>
        <w:pStyle w:val="ListBullet"/>
        <w:spacing w:after="60" w:line="259" w:lineRule="auto"/>
      </w:pPr>
      <w:r>
        <w:rPr>
          <w:rFonts w:ascii="Aptos" w:hAnsi="Aptos"/>
          <w:b w:val="0"/>
          <w:color w:val="202724"/>
          <w:sz w:val="21"/>
        </w:rPr>
        <w:t>La baseline actuelle et la capacité future sont deux contextes distincts. Le rapport ne mélange jamais 1 t/h et 2 t/h sans libellé.</w:t>
      </w:r>
    </w:p>
    <w:p>
      <w:pPr>
        <w:pStyle w:val="ListBullet"/>
        <w:spacing w:after="60" w:line="259" w:lineRule="auto"/>
      </w:pPr>
      <w:r>
        <w:rPr>
          <w:rFonts w:ascii="Aptos" w:hAnsi="Aptos"/>
          <w:b w:val="0"/>
          <w:color w:val="202724"/>
          <w:sz w:val="21"/>
        </w:rPr>
        <w:t>Une valeur estimée reste visible comme estimation et peut recevoir une plage basse, centrale et haute.</w:t>
      </w:r>
    </w:p>
    <w:p>
      <w:pPr>
        <w:pStyle w:val="Heading2"/>
        <w:keepNext/>
        <w:spacing w:before="200" w:after="100"/>
      </w:pPr>
      <w:r>
        <w:rPr>
          <w:rFonts w:ascii="Aptos" w:hAnsi="Aptos"/>
          <w:b/>
          <w:color w:val="000000"/>
          <w:sz w:val="25"/>
        </w:rPr>
        <w:t>Formules recommandées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1800"/>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Poste</w:t>
            </w:r>
          </w:p>
        </w:tc>
        <w:tc>
          <w:tcPr>
            <w:tcW w:type="dxa" w:w="5832"/>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Formule annuelle</w:t>
            </w:r>
          </w:p>
        </w:tc>
        <w:tc>
          <w:tcPr>
            <w:tcW w:type="dxa" w:w="2304"/>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Contrôles</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Factures réseau</w:t>
            </w:r>
          </w:p>
        </w:tc>
        <w:tc>
          <w:tcPr>
            <w:tcW w:type="dxa" w:w="58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Somme des 12 factures consécutives</w:t>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Doublons, mois manquants, devise, HT ou TTC cohérent</w:t>
            </w:r>
          </w:p>
        </w:tc>
      </w:tr>
      <w:tr>
        <w:trPr>
          <w:cantSplit w:val="true"/>
        </w:trPr>
        <w:tc>
          <w:tcPr>
            <w:tcW w:type="dxa" w:w="180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Diesel</w:t>
            </w:r>
          </w:p>
        </w:tc>
        <w:tc>
          <w:tcPr>
            <w:tcW w:type="dxa" w:w="583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Somme des litres x prix observé, ou somme des montants sur 12 mois</w:t>
            </w:r>
          </w:p>
        </w:tc>
        <w:tc>
          <w:tcPr>
            <w:tcW w:type="dxa" w:w="230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Ne pas additionner litres x prix et montant pour la même période</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Maintenance</w:t>
            </w:r>
          </w:p>
        </w:tc>
        <w:tc>
          <w:tcPr>
            <w:tcW w:type="dxa" w:w="58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Somme des dépenses sur la fenêtre de 12 mois</w:t>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Séparer maintenance planifiée et panne si utile</w:t>
            </w:r>
          </w:p>
        </w:tc>
      </w:tr>
      <w:tr>
        <w:trPr>
          <w:cantSplit w:val="true"/>
        </w:trPr>
        <w:tc>
          <w:tcPr>
            <w:tcW w:type="dxa" w:w="180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Perte de production</w:t>
            </w:r>
          </w:p>
        </w:tc>
        <w:tc>
          <w:tcPr>
            <w:tcW w:type="dxa" w:w="583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Événements x durée effective x unités par heure x marge par unité x part perdue x 1 moins taux de rattrapage</w:t>
            </w:r>
          </w:p>
        </w:tc>
        <w:tc>
          <w:tcPr>
            <w:tcW w:type="dxa" w:w="230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Marge contributive, pas chiffre d'affaires</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Matières perdues</w:t>
            </w:r>
          </w:p>
        </w:tc>
        <w:tc>
          <w:tcPr>
            <w:tcW w:type="dxa" w:w="58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Événements x quantité rebutée x coût unitaire x part non récupérée</w:t>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Exclure toute matière déjà comptée dans la perte de production</w:t>
            </w:r>
          </w:p>
        </w:tc>
      </w:tr>
      <w:tr>
        <w:trPr>
          <w:cantSplit w:val="true"/>
        </w:trPr>
        <w:tc>
          <w:tcPr>
            <w:tcW w:type="dxa" w:w="180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Personnel immobilisé</w:t>
            </w:r>
          </w:p>
        </w:tc>
        <w:tc>
          <w:tcPr>
            <w:tcW w:type="dxa" w:w="583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Heures d'arrêt x effectif x coût horaire chargé x part non redéployée</w:t>
            </w:r>
          </w:p>
        </w:tc>
        <w:tc>
          <w:tcPr>
            <w:tcW w:type="dxa" w:w="230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Vérifier le double comptage avec la marge</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Puissance</w:t>
            </w:r>
          </w:p>
        </w:tc>
        <w:tc>
          <w:tcPr>
            <w:tcW w:type="dxa" w:w="58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Somme des pénalités ou dépassements effectivement facturés</w:t>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Non applicable sans ligne facturée ou règle tarifaire vérifiée</w:t>
            </w:r>
          </w:p>
        </w:tc>
      </w:tr>
    </w:tbl>
    <w:p>
      <w:pPr>
        <w:spacing w:after="40"/>
      </w:pPr>
    </w:p>
    <w:p>
      <w:pPr>
        <w:pStyle w:val="Heading2"/>
        <w:keepNext/>
        <w:spacing w:before="200" w:after="100"/>
      </w:pPr>
      <w:r>
        <w:rPr>
          <w:rFonts w:ascii="Aptos" w:hAnsi="Aptos"/>
          <w:b/>
          <w:color w:val="000000"/>
          <w:sz w:val="25"/>
        </w:rPr>
        <w:t>Classification des coûts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2304"/>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Catégorie</w:t>
            </w:r>
          </w:p>
        </w:tc>
        <w:tc>
          <w:tcPr>
            <w:tcW w:type="dxa" w:w="4320"/>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Exemples</w:t>
            </w:r>
          </w:p>
        </w:tc>
        <w:tc>
          <w:tcPr>
            <w:tcW w:type="dxa" w:w="3311"/>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Traitement</w:t>
            </w:r>
          </w:p>
        </w:tc>
      </w:tr>
      <w:tr>
        <w:trPr>
          <w:cantSplit w:val="true"/>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Coûts visibles</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Facture réseau, carburant, maintenance, pénalité de puissance facturée</w:t>
            </w:r>
          </w:p>
        </w:tc>
        <w:tc>
          <w:tcPr>
            <w:tcW w:type="dxa" w:w="331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Preuve documentaire attendue</w:t>
            </w:r>
          </w:p>
        </w:tc>
      </w:tr>
      <w:tr>
        <w:trPr>
          <w:cantSplit w:val="true"/>
        </w:trPr>
        <w:tc>
          <w:tcPr>
            <w:tcW w:type="dxa" w:w="230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Coûts cachés directs</w:t>
            </w:r>
          </w:p>
        </w:tc>
        <w:tc>
          <w:tcPr>
            <w:tcW w:type="dxa" w:w="432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Rebut matière, heures improductives, redémarrage, rework</w:t>
            </w:r>
          </w:p>
        </w:tc>
        <w:tc>
          <w:tcPr>
            <w:tcW w:type="dxa" w:w="3311"/>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Questions conditionnelles et hypothèses explicites</w:t>
            </w:r>
          </w:p>
        </w:tc>
      </w:tr>
      <w:tr>
        <w:trPr>
          <w:cantSplit w:val="true"/>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Coûts cachés d'opportunité</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Marge non réalisée, commande perdue, retard commercial</w:t>
            </w:r>
          </w:p>
        </w:tc>
        <w:tc>
          <w:tcPr>
            <w:tcW w:type="dxa" w:w="331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Afficher séparément et appliquer un niveau de confiance</w:t>
            </w:r>
          </w:p>
        </w:tc>
      </w:tr>
      <w:tr>
        <w:trPr>
          <w:cantSplit w:val="true"/>
        </w:trPr>
        <w:tc>
          <w:tcPr>
            <w:tcW w:type="dxa" w:w="230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Non applicable</w:t>
            </w:r>
          </w:p>
        </w:tc>
        <w:tc>
          <w:tcPr>
            <w:tcW w:type="dxa" w:w="432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Aucune pénalité de puissance, aucun rebut, personnel redéployé</w:t>
            </w:r>
          </w:p>
        </w:tc>
        <w:tc>
          <w:tcPr>
            <w:tcW w:type="dxa" w:w="3311"/>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Conserver la justification au lieu d'une valeur zéro ambiguë</w:t>
            </w:r>
          </w:p>
        </w:tc>
      </w:tr>
    </w:tbl>
    <w:p>
      <w:pPr>
        <w:spacing w:after="40"/>
      </w:pPr>
    </w:p>
    <w:p>
      <w:pPr>
        <w:pStyle w:val="Heading2"/>
        <w:keepNext/>
        <w:spacing w:before="200" w:after="100"/>
      </w:pPr>
      <w:r>
        <w:rPr>
          <w:rFonts w:ascii="Aptos" w:hAnsi="Aptos"/>
          <w:b/>
          <w:color w:val="000000"/>
          <w:sz w:val="25"/>
        </w:rPr>
        <w:t>Règles anti double comptage</w:t>
      </w:r>
    </w:p>
    <w:p>
      <w:pPr>
        <w:spacing w:after="60" w:line="259" w:lineRule="auto"/>
        <w:ind w:left="259" w:hanging="259"/>
      </w:pPr>
      <w:r>
        <w:rPr>
          <w:rFonts w:ascii="Aptos" w:hAnsi="Aptos"/>
          <w:b/>
          <w:color w:val="173D2B"/>
          <w:sz w:val="21"/>
        </w:rPr>
        <w:t xml:space="preserve">1. </w:t>
      </w:r>
      <w:r>
        <w:rPr>
          <w:rFonts w:ascii="Aptos" w:hAnsi="Aptos"/>
          <w:b w:val="0"/>
          <w:color w:val="202724"/>
          <w:sz w:val="21"/>
        </w:rPr>
        <w:t>La perte de production utilise la marge contributive par unité, et non le prix de vente brut.</w:t>
      </w:r>
    </w:p>
    <w:p>
      <w:pPr>
        <w:spacing w:after="60" w:line="259" w:lineRule="auto"/>
        <w:ind w:left="259" w:hanging="259"/>
      </w:pPr>
      <w:r>
        <w:rPr>
          <w:rFonts w:ascii="Aptos" w:hAnsi="Aptos"/>
          <w:b/>
          <w:color w:val="173D2B"/>
          <w:sz w:val="21"/>
        </w:rPr>
        <w:t xml:space="preserve">2. </w:t>
      </w:r>
      <w:r>
        <w:rPr>
          <w:rFonts w:ascii="Aptos" w:hAnsi="Aptos"/>
          <w:b w:val="0"/>
          <w:color w:val="202724"/>
          <w:sz w:val="21"/>
        </w:rPr>
        <w:t>La matière rebutée n'est ajoutée que si elle n'est pas déjà incluse dans la marge utilisée.</w:t>
      </w:r>
    </w:p>
    <w:p>
      <w:pPr>
        <w:spacing w:after="60" w:line="259" w:lineRule="auto"/>
        <w:ind w:left="259" w:hanging="259"/>
      </w:pPr>
      <w:r>
        <w:rPr>
          <w:rFonts w:ascii="Aptos" w:hAnsi="Aptos"/>
          <w:b/>
          <w:color w:val="173D2B"/>
          <w:sz w:val="21"/>
        </w:rPr>
        <w:t xml:space="preserve">3. </w:t>
      </w:r>
      <w:r>
        <w:rPr>
          <w:rFonts w:ascii="Aptos" w:hAnsi="Aptos"/>
          <w:b w:val="0"/>
          <w:color w:val="202724"/>
          <w:sz w:val="21"/>
        </w:rPr>
        <w:t>Le personnel immobilisé est séparé uniquement si son coût n'est pas déjà absorbé dans l'indicateur de marge et s'il n'est pas redéployé.</w:t>
      </w:r>
    </w:p>
    <w:p>
      <w:pPr>
        <w:spacing w:after="60" w:line="259" w:lineRule="auto"/>
        <w:ind w:left="259" w:hanging="259"/>
      </w:pPr>
      <w:r>
        <w:rPr>
          <w:rFonts w:ascii="Aptos" w:hAnsi="Aptos"/>
          <w:b/>
          <w:color w:val="173D2B"/>
          <w:sz w:val="21"/>
        </w:rPr>
        <w:t xml:space="preserve">4. </w:t>
      </w:r>
      <w:r>
        <w:rPr>
          <w:rFonts w:ascii="Aptos" w:hAnsi="Aptos"/>
          <w:b w:val="0"/>
          <w:color w:val="202724"/>
          <w:sz w:val="21"/>
        </w:rPr>
        <w:t>Une commande retardée ne devient une perte commerciale que si elle est réellement annulée ou pénalisée.</w:t>
      </w:r>
    </w:p>
    <w:p>
      <w:pPr>
        <w:spacing w:after="60" w:line="259" w:lineRule="auto"/>
        <w:ind w:left="259" w:hanging="259"/>
      </w:pPr>
      <w:r>
        <w:rPr>
          <w:rFonts w:ascii="Aptos" w:hAnsi="Aptos"/>
          <w:b/>
          <w:color w:val="173D2B"/>
          <w:sz w:val="21"/>
        </w:rPr>
        <w:t xml:space="preserve">5. </w:t>
      </w:r>
      <w:r>
        <w:rPr>
          <w:rFonts w:ascii="Aptos" w:hAnsi="Aptos"/>
          <w:b w:val="0"/>
          <w:color w:val="202724"/>
          <w:sz w:val="21"/>
        </w:rPr>
        <w:t>Le diesel est calculé à partir d'une seule représentation par période : montant réel ou litres x prix.</w:t>
      </w:r>
    </w:p>
    <w:p>
      <w:pPr>
        <w:pStyle w:val="Heading2"/>
        <w:keepNext/>
        <w:spacing w:before="200" w:after="100"/>
      </w:pPr>
      <w:r>
        <w:rPr>
          <w:rFonts w:ascii="Aptos" w:hAnsi="Aptos"/>
          <w:b/>
          <w:color w:val="000000"/>
          <w:sz w:val="25"/>
        </w:rPr>
        <w:t>Contrôles automatiques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1655"/>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Niveau</w:t>
            </w:r>
          </w:p>
        </w:tc>
        <w:tc>
          <w:tcPr>
            <w:tcW w:type="dxa" w:w="6048"/>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Exemples</w:t>
            </w:r>
          </w:p>
        </w:tc>
        <w:tc>
          <w:tcPr>
            <w:tcW w:type="dxa" w:w="2232"/>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Effet</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Bloquant</w:t>
            </w:r>
          </w:p>
        </w:tc>
        <w:tc>
          <w:tcPr>
            <w:tcW w:type="dxa" w:w="60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Moins de 12 périodes sans hypothèse autorisée, marge absente, scénario sans investissement</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Calcul final et publication impossibles</w:t>
            </w:r>
          </w:p>
        </w:tc>
      </w:tr>
      <w:tr>
        <w:trPr>
          <w:cantSplit w:val="true"/>
        </w:trPr>
        <w:tc>
          <w:tcPr>
            <w:tcW w:type="dxa" w:w="1655"/>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Avertissement</w:t>
            </w:r>
          </w:p>
        </w:tc>
        <w:tc>
          <w:tcPr>
            <w:tcW w:type="dxa" w:w="604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Hausse mensuelle anormale, durée de coupure extrême, source estimée</w:t>
            </w:r>
          </w:p>
        </w:tc>
        <w:tc>
          <w:tcPr>
            <w:tcW w:type="dxa" w:w="223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Calcul possible mais validation exigée</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Information</w:t>
            </w:r>
          </w:p>
        </w:tc>
        <w:tc>
          <w:tcPr>
            <w:tcW w:type="dxa" w:w="60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Poste non applicable, donnée facultative absente</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Aucun blocage</w:t>
            </w:r>
          </w:p>
        </w:tc>
      </w:tr>
    </w:tbl>
    <w:p>
      <w:pPr>
        <w:spacing w:after="40"/>
      </w:pPr>
    </w:p>
    <w:p>
      <w:pPr>
        <w:pStyle w:val="Heading1"/>
        <w:keepNext/>
        <w:spacing w:before="280" w:after="100"/>
      </w:pPr>
      <w:r>
        <w:rPr>
          <w:rFonts w:ascii="Aptos" w:hAnsi="Aptos"/>
          <w:b/>
          <w:color w:val="000000"/>
          <w:sz w:val="32"/>
        </w:rPr>
        <w:t>7 Scénarios solutions ROI et devis</w:t>
      </w:r>
    </w:p>
    <w:p>
      <w:pPr>
        <w:pStyle w:val="Heading2"/>
        <w:keepNext/>
        <w:spacing w:before="200" w:after="100"/>
      </w:pPr>
      <w:r>
        <w:rPr>
          <w:rFonts w:ascii="Aptos" w:hAnsi="Aptos"/>
          <w:b/>
          <w:color w:val="000000"/>
          <w:sz w:val="25"/>
        </w:rPr>
        <w:t>Modèle de scénario</w:t>
      </w:r>
    </w:p>
    <w:p>
      <w:pPr>
        <w:spacing w:after="120" w:line="269" w:lineRule="auto"/>
      </w:pPr>
      <w:r>
        <w:rPr>
          <w:rFonts w:ascii="Aptos" w:hAnsi="Aptos"/>
          <w:b w:val="0"/>
          <w:i w:val="0"/>
          <w:color w:val="202724"/>
          <w:sz w:val="21"/>
        </w:rPr>
        <w:t>Un scénario est une solution technique appliquée à une baseline approuvée. Il contient un investissement initial, des coûts d'exploitation, une durée d'étude et un taux de réduction par poste. Ces taux proviennent de l'étude technique et ne doivent jamais être déduits automatiquement sans règle validée.</w:t>
      </w:r>
    </w:p>
    <w:tbl>
      <w:tblPr>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2592"/>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Indicateur</w:t>
            </w:r>
          </w:p>
        </w:tc>
        <w:tc>
          <w:tcPr>
            <w:tcW w:type="dxa" w:w="7343"/>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Formule ou définition</w:t>
            </w:r>
          </w:p>
        </w:tc>
      </w:tr>
      <w:tr>
        <w:trPr>
          <w:cantSplit w:val="true"/>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Coût résiduel du poste</w:t>
            </w:r>
          </w:p>
        </w:tc>
        <w:tc>
          <w:tcPr>
            <w:tcW w:type="dxa" w:w="734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Coût baseline x 1 moins taux de réduction</w:t>
            </w:r>
          </w:p>
        </w:tc>
      </w:tr>
      <w:tr>
        <w:trPr>
          <w:cantSplit w:val="true"/>
        </w:trPr>
        <w:tc>
          <w:tcPr>
            <w:tcW w:type="dxa" w:w="259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Coût résiduel annuel</w:t>
            </w:r>
          </w:p>
        </w:tc>
        <w:tc>
          <w:tcPr>
            <w:tcW w:type="dxa" w:w="7343"/>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Somme des coûts résiduels plus coûts d'exploitation du scénario</w:t>
            </w:r>
          </w:p>
        </w:tc>
      </w:tr>
      <w:tr>
        <w:trPr>
          <w:cantSplit w:val="true"/>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Économie annuelle</w:t>
            </w:r>
          </w:p>
        </w:tc>
        <w:tc>
          <w:tcPr>
            <w:tcW w:type="dxa" w:w="734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Coût annuel baseline moins coût résiduel annuel</w:t>
            </w:r>
          </w:p>
        </w:tc>
      </w:tr>
      <w:tr>
        <w:trPr>
          <w:cantSplit w:val="true"/>
        </w:trPr>
        <w:tc>
          <w:tcPr>
            <w:tcW w:type="dxa" w:w="259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Délai de retour simple</w:t>
            </w:r>
          </w:p>
        </w:tc>
        <w:tc>
          <w:tcPr>
            <w:tcW w:type="dxa" w:w="7343"/>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Investissement initial divisé par économie annuelle</w:t>
            </w:r>
          </w:p>
        </w:tc>
      </w:tr>
      <w:tr>
        <w:trPr>
          <w:cantSplit w:val="true"/>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Coût cumulé à N ans</w:t>
            </w:r>
          </w:p>
        </w:tc>
        <w:tc>
          <w:tcPr>
            <w:tcW w:type="dxa" w:w="734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Investissement initial plus somme des coûts annuels résiduels, remplacements et maintenance</w:t>
            </w:r>
          </w:p>
        </w:tc>
      </w:tr>
      <w:tr>
        <w:trPr>
          <w:cantSplit w:val="true"/>
        </w:trPr>
        <w:tc>
          <w:tcPr>
            <w:tcW w:type="dxa" w:w="259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ROI à N ans</w:t>
            </w:r>
          </w:p>
        </w:tc>
        <w:tc>
          <w:tcPr>
            <w:tcW w:type="dxa" w:w="7343"/>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Gains cumulés moins investissement, divisé par investissement</w:t>
            </w:r>
          </w:p>
        </w:tc>
      </w:tr>
      <w:tr>
        <w:trPr>
          <w:cantSplit w:val="true"/>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VAN optionnelle</w:t>
            </w:r>
          </w:p>
        </w:tc>
        <w:tc>
          <w:tcPr>
            <w:tcW w:type="dxa" w:w="734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Flux actualisés selon un taux défini par le client</w:t>
            </w:r>
          </w:p>
        </w:tc>
      </w:tr>
    </w:tbl>
    <w:p>
      <w:pPr>
        <w:spacing w:after="40"/>
      </w:pPr>
    </w:p>
    <w:p>
      <w:pPr>
        <w:pStyle w:val="Heading2"/>
        <w:keepNext/>
        <w:spacing w:before="200" w:after="100"/>
      </w:pPr>
      <w:r>
        <w:rPr>
          <w:rFonts w:ascii="Aptos" w:hAnsi="Aptos"/>
          <w:b/>
          <w:color w:val="000000"/>
          <w:sz w:val="25"/>
        </w:rPr>
        <w:t>Courbes recommandées</w:t>
      </w:r>
    </w:p>
    <w:p>
      <w:pPr>
        <w:pStyle w:val="ListBullet"/>
        <w:spacing w:after="60" w:line="259" w:lineRule="auto"/>
      </w:pPr>
      <w:r>
        <w:rPr>
          <w:rFonts w:ascii="Aptos" w:hAnsi="Aptos"/>
          <w:b w:val="0"/>
          <w:color w:val="202724"/>
          <w:sz w:val="21"/>
        </w:rPr>
        <w:t>Histogramme horizontal des coûts annuels actuels par poste pour la page de situation actuelle.</w:t>
      </w:r>
    </w:p>
    <w:p>
      <w:pPr>
        <w:pStyle w:val="ListBullet"/>
        <w:spacing w:after="60" w:line="259" w:lineRule="auto"/>
      </w:pPr>
      <w:r>
        <w:rPr>
          <w:rFonts w:ascii="Aptos" w:hAnsi="Aptos"/>
          <w:b w:val="0"/>
          <w:color w:val="202724"/>
          <w:sz w:val="21"/>
        </w:rPr>
        <w:t>Tableau de réduction par poste et par scénario, avec le montant résiduel en info-bulle dans l'application.</w:t>
      </w:r>
    </w:p>
    <w:p>
      <w:pPr>
        <w:pStyle w:val="ListBullet"/>
        <w:spacing w:after="60" w:line="259" w:lineRule="auto"/>
      </w:pPr>
      <w:r>
        <w:rPr>
          <w:rFonts w:ascii="Aptos" w:hAnsi="Aptos"/>
          <w:b w:val="0"/>
          <w:color w:val="202724"/>
          <w:sz w:val="21"/>
        </w:rPr>
        <w:t>Courbe du coût cumulé sur dix ans : situation actuelle et chaque scénario, investissement inclus à l'année zéro.</w:t>
      </w:r>
    </w:p>
    <w:p>
      <w:pPr>
        <w:pStyle w:val="ListBullet"/>
        <w:spacing w:after="60" w:line="259" w:lineRule="auto"/>
      </w:pPr>
      <w:r>
        <w:rPr>
          <w:rFonts w:ascii="Aptos" w:hAnsi="Aptos"/>
          <w:b w:val="0"/>
          <w:color w:val="202724"/>
          <w:sz w:val="21"/>
        </w:rPr>
        <w:t>Analyse de sensibilité basse, centrale et haute sur les variables les plus incertaines : fréquence des coupures, marge et taux de rattrapage.</w:t>
      </w:r>
    </w:p>
    <w:p>
      <w:pPr>
        <w:pStyle w:val="Heading2"/>
        <w:keepNext/>
        <w:spacing w:before="200" w:after="100"/>
      </w:pPr>
      <w:r>
        <w:rPr>
          <w:rFonts w:ascii="Aptos" w:hAnsi="Aptos"/>
          <w:b/>
          <w:color w:val="000000"/>
          <w:sz w:val="25"/>
        </w:rPr>
        <w:t>Recommandation</w:t>
      </w:r>
    </w:p>
    <w:p>
      <w:pPr>
        <w:spacing w:after="120" w:line="269" w:lineRule="auto"/>
      </w:pPr>
      <w:r>
        <w:rPr>
          <w:rFonts w:ascii="Aptos" w:hAnsi="Aptos"/>
          <w:b w:val="0"/>
          <w:i w:val="0"/>
          <w:color w:val="202724"/>
          <w:sz w:val="21"/>
        </w:rPr>
        <w:t>Le système peut classer les scénarios selon une grille pondérée, mais la recommandation finale doit rester une décision humaine approuvée. Le texte généré utilise uniquement des motifs sélectionnés et des indicateurs calculés.</w:t>
      </w:r>
    </w:p>
    <w:tbl>
      <w:tblPr>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2015"/>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8"/>
              </w:rPr>
              <w:t>Critère</w:t>
            </w:r>
          </w:p>
        </w:tc>
        <w:tc>
          <w:tcPr>
            <w:tcW w:type="dxa" w:w="7920"/>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8"/>
              </w:rPr>
              <w:t>Exemple de mesure</w:t>
            </w:r>
          </w:p>
        </w:tc>
      </w:tr>
      <w:tr>
        <w:trPr>
          <w:cantSplit w:val="true"/>
        </w:trPr>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Économie</w:t>
            </w:r>
          </w:p>
        </w:tc>
        <w:tc>
          <w:tcPr>
            <w:tcW w:type="dxa" w:w="79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Économie annuelle, VAN, coût cumulé</w:t>
            </w:r>
          </w:p>
        </w:tc>
      </w:tr>
      <w:tr>
        <w:trPr>
          <w:cantSplit w:val="true"/>
        </w:trPr>
        <w:tc>
          <w:tcPr>
            <w:tcW w:type="dxa" w:w="2015"/>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Retour</w:t>
            </w:r>
          </w:p>
        </w:tc>
        <w:tc>
          <w:tcPr>
            <w:tcW w:type="dxa" w:w="792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Délai de retour simple</w:t>
            </w:r>
          </w:p>
        </w:tc>
      </w:tr>
      <w:tr>
        <w:trPr>
          <w:cantSplit w:val="true"/>
        </w:trPr>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Résilience</w:t>
            </w:r>
          </w:p>
        </w:tc>
        <w:tc>
          <w:tcPr>
            <w:tcW w:type="dxa" w:w="79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Part des coupures couvertes et autonomie</w:t>
            </w:r>
          </w:p>
        </w:tc>
      </w:tr>
      <w:tr>
        <w:trPr>
          <w:cantSplit w:val="true"/>
        </w:trPr>
        <w:tc>
          <w:tcPr>
            <w:tcW w:type="dxa" w:w="2015"/>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Croissance</w:t>
            </w:r>
          </w:p>
        </w:tc>
        <w:tc>
          <w:tcPr>
            <w:tcW w:type="dxa" w:w="792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Compatibilité avec la capacité future</w:t>
            </w:r>
          </w:p>
        </w:tc>
      </w:tr>
      <w:tr>
        <w:trPr>
          <w:cantSplit w:val="true"/>
        </w:trPr>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Risque</w:t>
            </w:r>
          </w:p>
        </w:tc>
        <w:tc>
          <w:tcPr>
            <w:tcW w:type="dxa" w:w="79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Dépendances, garantie, disponibilité des pièces</w:t>
            </w:r>
          </w:p>
        </w:tc>
      </w:tr>
      <w:tr>
        <w:trPr>
          <w:cantSplit w:val="true"/>
        </w:trPr>
        <w:tc>
          <w:tcPr>
            <w:tcW w:type="dxa" w:w="2015"/>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Exploitation</w:t>
            </w:r>
          </w:p>
        </w:tc>
        <w:tc>
          <w:tcPr>
            <w:tcW w:type="dxa" w:w="792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Maintenance, supervision et compétences requises</w:t>
            </w:r>
          </w:p>
        </w:tc>
      </w:tr>
    </w:tbl>
    <w:p>
      <w:pPr>
        <w:spacing w:after="40"/>
      </w:pPr>
    </w:p>
    <w:p>
      <w:pPr>
        <w:pStyle w:val="Heading2"/>
        <w:keepNext/>
        <w:spacing w:before="200" w:after="100"/>
      </w:pPr>
      <w:r>
        <w:rPr>
          <w:rFonts w:ascii="Aptos" w:hAnsi="Aptos"/>
          <w:b/>
          <w:color w:val="000000"/>
          <w:sz w:val="25"/>
        </w:rPr>
        <w:t>Lien avec le devis</w:t>
      </w:r>
    </w:p>
    <w:p>
      <w:pPr>
        <w:spacing w:after="120" w:line="269" w:lineRule="auto"/>
      </w:pPr>
      <w:r>
        <w:rPr>
          <w:rFonts w:ascii="Aptos" w:hAnsi="Aptos"/>
          <w:b w:val="0"/>
          <w:i w:val="0"/>
          <w:color w:val="202724"/>
          <w:sz w:val="21"/>
        </w:rPr>
        <w:t>Le devis doit être un objet séparé mais lié au scénario approuvé. Le scénario porte l'économie et les hypothèses techniques. Le devis porte les lignes commerciales, prix, quantités, taxes, remise, durée de validité et conditions. Modifier un devis ne recalcule pas silencieusement l'étude ; si l'investissement change, une nouvelle version du scénario est proposée.</w:t>
      </w:r>
    </w:p>
    <w:p>
      <w:pPr>
        <w:pStyle w:val="Heading1"/>
        <w:keepNext/>
        <w:spacing w:before="280" w:after="100"/>
      </w:pPr>
      <w:r>
        <w:rPr>
          <w:rFonts w:ascii="Aptos" w:hAnsi="Aptos"/>
          <w:b/>
          <w:color w:val="000000"/>
          <w:sz w:val="32"/>
        </w:rPr>
        <w:t>8 Modèle de données</w:t>
      </w:r>
    </w:p>
    <w:p>
      <w:pPr>
        <w:pStyle w:val="Heading2"/>
        <w:keepNext/>
        <w:spacing w:before="200" w:after="100"/>
      </w:pPr>
      <w:r>
        <w:rPr>
          <w:rFonts w:ascii="Aptos" w:hAnsi="Aptos"/>
          <w:b/>
          <w:color w:val="000000"/>
          <w:sz w:val="25"/>
        </w:rPr>
        <w:t>Agrégats principaux</w:t>
      </w:r>
    </w:p>
    <w:tbl>
      <w:tblPr>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2015"/>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8"/>
              </w:rPr>
              <w:t>Agrégat</w:t>
            </w:r>
          </w:p>
        </w:tc>
        <w:tc>
          <w:tcPr>
            <w:tcW w:type="dxa" w:w="7920"/>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8"/>
              </w:rPr>
              <w:t>Entités ou données</w:t>
            </w:r>
          </w:p>
        </w:tc>
      </w:tr>
      <w:tr>
        <w:trPr>
          <w:cantSplit w:val="true"/>
        </w:trPr>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Organisation</w:t>
            </w:r>
          </w:p>
        </w:tc>
        <w:tc>
          <w:tcPr>
            <w:tcW w:type="dxa" w:w="79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Organization, User, Membership, Role</w:t>
            </w:r>
          </w:p>
        </w:tc>
      </w:tr>
      <w:tr>
        <w:trPr>
          <w:cantSplit w:val="true"/>
        </w:trPr>
        <w:tc>
          <w:tcPr>
            <w:tcW w:type="dxa" w:w="2015"/>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Client</w:t>
            </w:r>
          </w:p>
        </w:tc>
        <w:tc>
          <w:tcPr>
            <w:tcW w:type="dxa" w:w="792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ClientCompany, Site, Contact</w:t>
            </w:r>
          </w:p>
        </w:tc>
      </w:tr>
      <w:tr>
        <w:trPr>
          <w:cantSplit w:val="true"/>
        </w:trPr>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Dossier</w:t>
            </w:r>
          </w:p>
        </w:tc>
        <w:tc>
          <w:tcPr>
            <w:tcW w:type="dxa" w:w="79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DiagnosticCase, Assignment, StatusHistory, Comment</w:t>
            </w:r>
          </w:p>
        </w:tc>
      </w:tr>
      <w:tr>
        <w:trPr>
          <w:cantSplit w:val="true"/>
        </w:trPr>
        <w:tc>
          <w:tcPr>
            <w:tcW w:type="dxa" w:w="2015"/>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Collecte</w:t>
            </w:r>
          </w:p>
        </w:tc>
        <w:tc>
          <w:tcPr>
            <w:tcW w:type="dxa" w:w="792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QuestionnaireVersion, AnswerSet, Answer, Evidence, DocumentAsset</w:t>
            </w:r>
          </w:p>
        </w:tc>
      </w:tr>
      <w:tr>
        <w:trPr>
          <w:cantSplit w:val="true"/>
        </w:trPr>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Baseline</w:t>
            </w:r>
          </w:p>
        </w:tc>
        <w:tc>
          <w:tcPr>
            <w:tcW w:type="dxa" w:w="79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EnergyBill, FuelRecord, MaintenanceRecord, OutageProfile, CostItem</w:t>
            </w:r>
          </w:p>
        </w:tc>
      </w:tr>
      <w:tr>
        <w:trPr>
          <w:cantSplit w:val="true"/>
        </w:trPr>
        <w:tc>
          <w:tcPr>
            <w:tcW w:type="dxa" w:w="2015"/>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Scénarios</w:t>
            </w:r>
          </w:p>
        </w:tc>
        <w:tc>
          <w:tcPr>
            <w:tcW w:type="dxa" w:w="792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Scenario, ScenarioImpact, SolutionComponent, Assumption</w:t>
            </w:r>
          </w:p>
        </w:tc>
      </w:tr>
      <w:tr>
        <w:trPr>
          <w:cantSplit w:val="true"/>
        </w:trPr>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Calcul</w:t>
            </w:r>
          </w:p>
        </w:tc>
        <w:tc>
          <w:tcPr>
            <w:tcW w:type="dxa" w:w="79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CalculationRun, CalculationSnapshot, ValidationIssue</w:t>
            </w:r>
          </w:p>
        </w:tc>
      </w:tr>
      <w:tr>
        <w:trPr>
          <w:cantSplit w:val="true"/>
        </w:trPr>
        <w:tc>
          <w:tcPr>
            <w:tcW w:type="dxa" w:w="2015"/>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Documents</w:t>
            </w:r>
          </w:p>
        </w:tc>
        <w:tc>
          <w:tcPr>
            <w:tcW w:type="dxa" w:w="792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ReportTemplate, ReportVersion, Quote, QuoteLine</w:t>
            </w:r>
          </w:p>
        </w:tc>
      </w:tr>
      <w:tr>
        <w:trPr>
          <w:cantSplit w:val="true"/>
        </w:trPr>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Audit</w:t>
            </w:r>
          </w:p>
        </w:tc>
        <w:tc>
          <w:tcPr>
            <w:tcW w:type="dxa" w:w="79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ActivityLog, Approval, JobExecution</w:t>
            </w:r>
          </w:p>
        </w:tc>
      </w:tr>
    </w:tbl>
    <w:p>
      <w:pPr>
        <w:spacing w:after="40"/>
      </w:pPr>
    </w:p>
    <w:p>
      <w:pPr>
        <w:pStyle w:val="Heading2"/>
        <w:keepNext/>
        <w:spacing w:before="200" w:after="100"/>
      </w:pPr>
      <w:r>
        <w:rPr>
          <w:rFonts w:ascii="Aptos" w:hAnsi="Aptos"/>
          <w:b/>
          <w:color w:val="000000"/>
          <w:sz w:val="25"/>
        </w:rPr>
        <w:t>Choix de modélisation</w:t>
      </w:r>
    </w:p>
    <w:p>
      <w:pPr>
        <w:pStyle w:val="ListBullet"/>
        <w:spacing w:after="60" w:line="259" w:lineRule="auto"/>
      </w:pPr>
      <w:r>
        <w:rPr>
          <w:rFonts w:ascii="Aptos" w:hAnsi="Aptos"/>
          <w:b w:val="0"/>
          <w:color w:val="202724"/>
          <w:sz w:val="21"/>
        </w:rPr>
        <w:t>Utiliser des tables relationnelles pour les données stables et interrogeables, notamment factures, coûts, scénarios et versions.</w:t>
      </w:r>
    </w:p>
    <w:p>
      <w:pPr>
        <w:pStyle w:val="ListBullet"/>
        <w:spacing w:after="60" w:line="259" w:lineRule="auto"/>
      </w:pPr>
      <w:r>
        <w:rPr>
          <w:rFonts w:ascii="Aptos" w:hAnsi="Aptos"/>
          <w:b w:val="0"/>
          <w:color w:val="202724"/>
          <w:sz w:val="21"/>
        </w:rPr>
        <w:t>Conserver le jeu brut du questionnaire en JSONB versionné pour la traçabilité, puis projeter les champs utiles dans le modèle relationnel.</w:t>
      </w:r>
    </w:p>
    <w:p>
      <w:pPr>
        <w:pStyle w:val="ListBullet"/>
        <w:spacing w:after="60" w:line="259" w:lineRule="auto"/>
      </w:pPr>
      <w:r>
        <w:rPr>
          <w:rFonts w:ascii="Aptos" w:hAnsi="Aptos"/>
          <w:b w:val="0"/>
          <w:color w:val="202724"/>
          <w:sz w:val="21"/>
        </w:rPr>
        <w:t>Éviter un modèle EAV généralisé qui rendrait les contrôles, requêtes et migrations trop fragiles.</w:t>
      </w:r>
    </w:p>
    <w:p>
      <w:pPr>
        <w:pStyle w:val="ListBullet"/>
        <w:spacing w:after="60" w:line="259" w:lineRule="auto"/>
      </w:pPr>
      <w:r>
        <w:rPr>
          <w:rFonts w:ascii="Aptos" w:hAnsi="Aptos"/>
          <w:b w:val="0"/>
          <w:color w:val="202724"/>
          <w:sz w:val="21"/>
        </w:rPr>
        <w:t>Attribuer à chaque valeur une provenance : client, analyste, OCR, import ou calcul.</w:t>
      </w:r>
    </w:p>
    <w:p>
      <w:pPr>
        <w:pStyle w:val="ListBullet"/>
        <w:spacing w:after="60" w:line="259" w:lineRule="auto"/>
      </w:pPr>
      <w:r>
        <w:rPr>
          <w:rFonts w:ascii="Aptos" w:hAnsi="Aptos"/>
          <w:b w:val="0"/>
          <w:color w:val="202724"/>
          <w:sz w:val="21"/>
        </w:rPr>
        <w:t>Créer un snapshot immuable contenant entrées normalisées, résultats, formules, versions et auteur de l'approbation.</w:t>
      </w:r>
    </w:p>
    <w:p>
      <w:pPr>
        <w:pStyle w:val="Heading1"/>
        <w:keepNext/>
        <w:spacing w:before="280" w:after="100"/>
      </w:pPr>
      <w:r>
        <w:rPr>
          <w:rFonts w:ascii="Aptos" w:hAnsi="Aptos"/>
          <w:b/>
          <w:color w:val="000000"/>
          <w:sz w:val="32"/>
        </w:rPr>
        <w:t>9 Architecture et stack recommandées</w:t>
      </w:r>
    </w:p>
    <w:p>
      <w:r>
        <w:drawing>
          <wp:inline xmlns:a="http://schemas.openxmlformats.org/drawingml/2006/main" xmlns:pic="http://schemas.openxmlformats.org/drawingml/2006/picture">
            <wp:extent cx="6263640" cy="3250397"/>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263640" cy="3250397"/>
                    </a:xfrm>
                    <a:prstGeom prst="rect"/>
                  </pic:spPr>
                </pic:pic>
              </a:graphicData>
            </a:graphic>
          </wp:inline>
        </w:drawing>
      </w:r>
    </w:p>
    <w:p>
      <w:pPr>
        <w:jc w:val="center"/>
      </w:pPr>
      <w:r>
        <w:t>Figure 3  Architecture logique</w:t>
      </w:r>
      <w:r>
        <w:rPr>
          <w:rFonts w:ascii="Aptos" w:hAnsi="Aptos"/>
          <w:b w:val="0"/>
          <w:color w:val="5A6660"/>
          <w:sz w:val="17"/>
        </w:rPr>
      </w:r>
    </w:p>
    <w:p>
      <w:pPr>
        <w:pStyle w:val="Heading2"/>
        <w:keepNext/>
        <w:spacing w:before="200" w:after="100"/>
      </w:pPr>
      <w:r>
        <w:rPr>
          <w:rFonts w:ascii="Aptos" w:hAnsi="Aptos"/>
          <w:b/>
          <w:color w:val="000000"/>
          <w:sz w:val="25"/>
        </w:rPr>
        <w:t>Décision d'architecture</w:t>
      </w:r>
    </w:p>
    <w:p>
      <w:pPr>
        <w:spacing w:after="120" w:line="269" w:lineRule="auto"/>
      </w:pPr>
      <w:r>
        <w:rPr>
          <w:rFonts w:ascii="Aptos" w:hAnsi="Aptos"/>
          <w:b w:val="0"/>
          <w:i w:val="0"/>
          <w:color w:val="202724"/>
          <w:sz w:val="21"/>
        </w:rPr>
        <w:t>Le trafic attendu ne justifie pas des microservices. Le bon compromis est un monolithe modulaire NestJS, une application Next.js et un worker déployable séparément. Les frontières métier restent nettes, mais les transactions, les migrations et l'exploitation demeurent simples.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1512"/>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Couche</w:t>
            </w:r>
          </w:p>
        </w:tc>
        <w:tc>
          <w:tcPr>
            <w:tcW w:type="dxa" w:w="3960"/>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Choix recommandé</w:t>
            </w:r>
          </w:p>
        </w:tc>
        <w:tc>
          <w:tcPr>
            <w:tcW w:type="dxa" w:w="4464"/>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Raison</w:t>
            </w:r>
          </w:p>
        </w:tc>
      </w:tr>
      <w:tr>
        <w:trPr>
          <w:cantSplit w:val="true"/>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Interface</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Next.js App Router, TypeScript, Tailwind CSS, shadcn/ui</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Deux portails modernes, rapides et responsives avec un design system commun</w:t>
            </w:r>
          </w:p>
        </w:tc>
      </w:tr>
      <w:tr>
        <w:trPr>
          <w:cantSplit w:val="true"/>
        </w:trPr>
        <w:tc>
          <w:tcPr>
            <w:tcW w:type="dxa" w:w="151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Formulaires</w:t>
            </w:r>
          </w:p>
        </w:tc>
        <w:tc>
          <w:tcPr>
            <w:tcW w:type="dxa" w:w="396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React Hook Form, Zod, autosave et state machine légère</w:t>
            </w:r>
          </w:p>
        </w:tc>
        <w:tc>
          <w:tcPr>
            <w:tcW w:type="dxa" w:w="446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Validation partagée, performances et parcours conditionnel contrôlé</w:t>
            </w:r>
          </w:p>
        </w:tc>
      </w:tr>
      <w:tr>
        <w:trPr>
          <w:cantSplit w:val="true"/>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API</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NestJS en monolithe modulaire avec REST et OpenAPI</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Domaines clairs, validation, sécurité et documentation d'intégration</w:t>
            </w:r>
          </w:p>
        </w:tc>
      </w:tr>
      <w:tr>
        <w:trPr>
          <w:cantSplit w:val="true"/>
        </w:trPr>
        <w:tc>
          <w:tcPr>
            <w:tcW w:type="dxa" w:w="151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Base</w:t>
            </w:r>
          </w:p>
        </w:tc>
        <w:tc>
          <w:tcPr>
            <w:tcW w:type="dxa" w:w="396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PostgreSQL avec Drizzle ORM et migrations SQL revues</w:t>
            </w:r>
          </w:p>
        </w:tc>
        <w:tc>
          <w:tcPr>
            <w:tcW w:type="dxa" w:w="446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Transactions, contraintes, JSONB et montants exacts</w:t>
            </w:r>
          </w:p>
        </w:tc>
      </w:tr>
      <w:tr>
        <w:trPr>
          <w:cantSplit w:val="true"/>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Jobs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Redis et BullMQ</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OCR, génération PDF, relances et reprises avec suivi d'état</w:t>
            </w:r>
          </w:p>
        </w:tc>
      </w:tr>
      <w:tr>
        <w:trPr>
          <w:cantSplit w:val="true"/>
        </w:trPr>
        <w:tc>
          <w:tcPr>
            <w:tcW w:type="dxa" w:w="151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Fichiers</w:t>
            </w:r>
          </w:p>
        </w:tc>
        <w:tc>
          <w:tcPr>
            <w:tcW w:type="dxa" w:w="396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S3 ou stockage compatible S3 avec URLs signées</w:t>
            </w:r>
          </w:p>
        </w:tc>
        <w:tc>
          <w:tcPr>
            <w:tcW w:type="dxa" w:w="446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Fichiers privés, accès temporaire et découplage du serveur</w:t>
            </w:r>
          </w:p>
        </w:tc>
      </w:tr>
      <w:tr>
        <w:trPr>
          <w:cantSplit w:val="true"/>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Rapports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Composants HTML et CSS print, ECharts SVG, Playwright Chromium</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Réutilisation du design web et PDF 16:9 fidèle</w:t>
            </w:r>
          </w:p>
        </w:tc>
      </w:tr>
      <w:tr>
        <w:trPr>
          <w:cantSplit w:val="true"/>
        </w:trPr>
        <w:tc>
          <w:tcPr>
            <w:tcW w:type="dxa" w:w="151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Tests</w:t>
            </w:r>
          </w:p>
        </w:tc>
        <w:tc>
          <w:tcPr>
            <w:tcW w:type="dxa" w:w="396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Vitest, Supertest, Playwright E2E et Testcontainers</w:t>
            </w:r>
          </w:p>
        </w:tc>
        <w:tc>
          <w:tcPr>
            <w:tcW w:type="dxa" w:w="446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Formules, API, parcours et infrastructure réelle en CI</w:t>
            </w:r>
          </w:p>
        </w:tc>
      </w:tr>
      <w:tr>
        <w:trPr>
          <w:cantSplit w:val="true"/>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Observabilité</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OpenTelemetry, Sentry, métriques et logs structurés</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Diagnostic des erreurs et suivi des jobs</w:t>
            </w:r>
          </w:p>
        </w:tc>
      </w:tr>
    </w:tbl>
    <w:p>
      <w:pPr>
        <w:spacing w:after="40"/>
      </w:pPr>
    </w:p>
    <w:p>
      <w:pPr>
        <w:pStyle w:val="Heading2"/>
        <w:keepNext/>
        <w:spacing w:before="200" w:after="100"/>
      </w:pPr>
      <w:r>
        <w:rPr>
          <w:rFonts w:ascii="Aptos" w:hAnsi="Aptos"/>
          <w:b/>
          <w:color w:val="000000"/>
          <w:sz w:val="25"/>
        </w:rPr>
        <w:t>Organisation du backend</w:t>
      </w:r>
    </w:p>
    <w:tbl>
      <w:tblPr>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2160"/>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Module</w:t>
            </w:r>
          </w:p>
        </w:tc>
        <w:tc>
          <w:tcPr>
            <w:tcW w:type="dxa" w:w="7776"/>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Responsabilité</w:t>
            </w:r>
          </w:p>
        </w:tc>
      </w:tr>
      <w:tr>
        <w:trPr>
          <w:cantSplit w:val="true"/>
        </w:trP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identity</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Authentification, organisations, membres et rôles</w:t>
            </w:r>
          </w:p>
        </w:tc>
      </w:tr>
      <w:tr>
        <w:trPr>
          <w:cantSplit w:val="true"/>
        </w:trPr>
        <w:tc>
          <w:tcPr>
            <w:tcW w:type="dxa" w:w="216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cases</w:t>
            </w:r>
          </w:p>
        </w:tc>
        <w:tc>
          <w:tcPr>
            <w:tcW w:type="dxa" w:w="7776"/>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Clients, sites, dossiers, statuts, affectations et activité</w:t>
            </w:r>
          </w:p>
        </w:tc>
      </w:tr>
      <w:tr>
        <w:trPr>
          <w:cantSplit w:val="true"/>
        </w:trP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questionnaire</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Définitions versionnées, réponses, applicabilité et complétude</w:t>
            </w:r>
          </w:p>
        </w:tc>
      </w:tr>
      <w:tr>
        <w:trPr>
          <w:cantSplit w:val="true"/>
        </w:trPr>
        <w:tc>
          <w:tcPr>
            <w:tcW w:type="dxa" w:w="216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evidence</w:t>
            </w:r>
          </w:p>
        </w:tc>
        <w:tc>
          <w:tcPr>
            <w:tcW w:type="dxa" w:w="7776"/>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Fichiers, métadonnées, OCR et provenance</w:t>
            </w:r>
          </w:p>
        </w:tc>
      </w:tr>
      <w:tr>
        <w:trPr>
          <w:cantSplit w:val="true"/>
        </w:trP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diagnosis</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Normalisation, coûts, contrôles et baseline</w:t>
            </w:r>
          </w:p>
        </w:tc>
      </w:tr>
      <w:tr>
        <w:trPr>
          <w:cantSplit w:val="true"/>
        </w:trPr>
        <w:tc>
          <w:tcPr>
            <w:tcW w:type="dxa" w:w="216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scenarios</w:t>
            </w:r>
          </w:p>
        </w:tc>
        <w:tc>
          <w:tcPr>
            <w:tcW w:type="dxa" w:w="7776"/>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Solutions, impacts, hypothèses et indicateurs financiers</w:t>
            </w:r>
          </w:p>
        </w:tc>
      </w:tr>
      <w:tr>
        <w:trPr>
          <w:cantSplit w:val="true"/>
        </w:trP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reports</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Templates, snapshots, rendus, versions et publication</w:t>
            </w:r>
          </w:p>
        </w:tc>
      </w:tr>
      <w:tr>
        <w:trPr>
          <w:cantSplit w:val="true"/>
        </w:trPr>
        <w:tc>
          <w:tcPr>
            <w:tcW w:type="dxa" w:w="216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quotes</w:t>
            </w:r>
          </w:p>
        </w:tc>
        <w:tc>
          <w:tcPr>
            <w:tcW w:type="dxa" w:w="7776"/>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Devis, lignes, taxes, remises et validité</w:t>
            </w:r>
          </w:p>
        </w:tc>
      </w:tr>
      <w:tr>
        <w:trPr>
          <w:cantSplit w:val="true"/>
        </w:trP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notifications</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Invitations, rappels et notifications internes</w:t>
            </w:r>
          </w:p>
        </w:tc>
      </w:tr>
      <w:tr>
        <w:trPr>
          <w:cantSplit w:val="true"/>
        </w:trPr>
        <w:tc>
          <w:tcPr>
            <w:tcW w:type="dxa" w:w="216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audit</w:t>
            </w:r>
          </w:p>
        </w:tc>
        <w:tc>
          <w:tcPr>
            <w:tcW w:type="dxa" w:w="7776"/>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Journal immuable des actions sensibles</w:t>
            </w:r>
          </w:p>
        </w:tc>
      </w:tr>
    </w:tbl>
    <w:p>
      <w:pPr>
        <w:spacing w:after="40"/>
      </w:pPr>
    </w:p>
    <w:p>
      <w:pPr>
        <w:pStyle w:val="Heading2"/>
        <w:keepNext/>
        <w:spacing w:before="200" w:after="100"/>
      </w:pPr>
      <w:r>
        <w:rPr>
          <w:rFonts w:ascii="Aptos" w:hAnsi="Aptos"/>
          <w:b/>
          <w:color w:val="000000"/>
          <w:sz w:val="25"/>
        </w:rPr>
        <w:t>Déploiement</w:t>
      </w:r>
    </w:p>
    <w:p>
      <w:pPr>
        <w:spacing w:after="120" w:line="269" w:lineRule="auto"/>
      </w:pPr>
      <w:r>
        <w:rPr>
          <w:rFonts w:ascii="Aptos" w:hAnsi="Aptos"/>
          <w:b w:val="0"/>
          <w:i w:val="0"/>
          <w:color w:val="202724"/>
          <w:sz w:val="21"/>
        </w:rPr>
        <w:t>L'architecture reste cloud agnostic. Pour la production : web, API et worker conteneurisés, PostgreSQL et Redis managés, stockage objet privé, HTTPS, sauvegardes et préproduction. Un VPS convient au prototype mais accroît l'exploitation et concentre les risques.</w:t>
      </w:r>
    </w:p>
    <w:tbl>
      <w:tblPr>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1944"/>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Environnement</w:t>
            </w:r>
          </w:p>
        </w:tc>
        <w:tc>
          <w:tcPr>
            <w:tcW w:type="dxa" w:w="7992"/>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Minimum</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Local</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Docker Compose pour PostgreSQL, Redis, stockage S3 compatible et services applicatifs</w:t>
            </w:r>
          </w:p>
        </w:tc>
      </w:tr>
      <w:tr>
        <w:trPr>
          <w:cantSplit w:val="true"/>
        </w:trPr>
        <w:tc>
          <w:tcPr>
            <w:tcW w:type="dxa" w:w="194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CI</w:t>
            </w:r>
          </w:p>
        </w:tc>
        <w:tc>
          <w:tcPr>
            <w:tcW w:type="dxa" w:w="799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Lint, types, tests unitaires, tests de formules, intégration, migrations et rendu de rapport de référence</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Préproduction</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Même topologie logique que la production, données fictives, liens et emails isolés</w:t>
            </w:r>
          </w:p>
        </w:tc>
      </w:tr>
      <w:tr>
        <w:trPr>
          <w:cantSplit w:val="true"/>
        </w:trPr>
        <w:tc>
          <w:tcPr>
            <w:tcW w:type="dxa" w:w="194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Production</w:t>
            </w:r>
          </w:p>
        </w:tc>
        <w:tc>
          <w:tcPr>
            <w:tcW w:type="dxa" w:w="799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Services conteneurisés, PostgreSQL et Redis managés, sauvegardes, secrets et alertes</w:t>
            </w:r>
          </w:p>
        </w:tc>
      </w:tr>
    </w:tbl>
    <w:p>
      <w:pPr>
        <w:spacing w:after="40"/>
      </w:pPr>
    </w:p>
    <w:p>
      <w:pPr>
        <w:pStyle w:val="Heading1"/>
        <w:keepNext/>
        <w:spacing w:before="280" w:after="100"/>
      </w:pPr>
      <w:r>
        <w:rPr>
          <w:rFonts w:ascii="Aptos" w:hAnsi="Aptos"/>
          <w:b/>
          <w:color w:val="000000"/>
          <w:sz w:val="32"/>
        </w:rPr>
        <w:t>10 Génération du rapport</w:t>
      </w:r>
    </w:p>
    <w:p>
      <w:r>
        <w:drawing>
          <wp:inline xmlns:a="http://schemas.openxmlformats.org/drawingml/2006/main" xmlns:pic="http://schemas.openxmlformats.org/drawingml/2006/picture">
            <wp:extent cx="6263640" cy="3250397"/>
            <wp:docPr id="4" name="Picture 4"/>
            <wp:cNvGraphicFramePr>
              <a:graphicFrameLocks noChangeAspect="1"/>
            </wp:cNvGraphicFramePr>
            <a:graphic>
              <a:graphicData uri="http://schemas.openxmlformats.org/drawingml/2006/picture">
                <pic:pic>
                  <pic:nvPicPr>
                    <pic:cNvPr id="0" name="pipeline_report.png"/>
                    <pic:cNvPicPr/>
                  </pic:nvPicPr>
                  <pic:blipFill>
                    <a:blip r:embed="rId14"/>
                    <a:stretch>
                      <a:fillRect/>
                    </a:stretch>
                  </pic:blipFill>
                  <pic:spPr>
                    <a:xfrm>
                      <a:off x="0" y="0"/>
                      <a:ext cx="6263640" cy="3250397"/>
                    </a:xfrm>
                    <a:prstGeom prst="rect"/>
                  </pic:spPr>
                </pic:pic>
              </a:graphicData>
            </a:graphic>
          </wp:inline>
        </w:drawing>
      </w:r>
    </w:p>
    <w:p>
      <w:pPr>
        <w:jc w:val="center"/>
      </w:pPr>
      <w:r>
        <w:t>Figure 4  Pipeline de génération documentaire</w:t>
      </w:r>
      <w:r>
        <w:rPr>
          <w:rFonts w:ascii="Aptos" w:hAnsi="Aptos"/>
          <w:b w:val="0"/>
          <w:color w:val="5A6660"/>
          <w:sz w:val="17"/>
        </w:rPr>
      </w:r>
    </w:p>
    <w:p>
      <w:pPr>
        <w:pStyle w:val="Heading2"/>
        <w:keepNext/>
        <w:spacing w:before="200" w:after="100"/>
      </w:pPr>
      <w:r>
        <w:rPr>
          <w:rFonts w:ascii="Aptos" w:hAnsi="Aptos"/>
          <w:b/>
          <w:color w:val="000000"/>
          <w:sz w:val="25"/>
        </w:rPr>
        <w:t>Pourquoi HTML vers PDF</w:t>
      </w:r>
    </w:p>
    <w:p>
      <w:pPr>
        <w:spacing w:after="120" w:line="269" w:lineRule="auto"/>
      </w:pPr>
      <w:r>
        <w:rPr>
          <w:rFonts w:ascii="Aptos" w:hAnsi="Aptos"/>
          <w:b w:val="0"/>
          <w:i w:val="0"/>
          <w:color w:val="202724"/>
          <w:sz w:val="21"/>
        </w:rPr>
        <w:t>Le rapport de référence est une présentation 16:9. Un template HTML paginé permet de reproduire ce format avec CSS, de partager les composants visuels avec l'aperçu web et de générer le PDF dans Chromium. Les graphiques doivent être rendus en SVG pour rester nets. Playwright permet de fixer la largeur, la hauteur, les marges et le rendu des couleurs.</w:t>
      </w:r>
    </w:p>
    <w:p>
      <w:pPr>
        <w:pStyle w:val="Heading2"/>
        <w:keepNext/>
        <w:spacing w:before="200" w:after="100"/>
      </w:pPr>
      <w:r>
        <w:rPr>
          <w:rFonts w:ascii="Aptos" w:hAnsi="Aptos"/>
          <w:b/>
          <w:color w:val="000000"/>
          <w:sz w:val="25"/>
        </w:rPr>
        <w:t>Contrat de génération</w:t>
      </w:r>
    </w:p>
    <w:p>
      <w:pPr>
        <w:spacing w:after="60" w:line="259" w:lineRule="auto"/>
        <w:ind w:left="259" w:hanging="259"/>
      </w:pPr>
      <w:r>
        <w:rPr>
          <w:rFonts w:ascii="Aptos" w:hAnsi="Aptos"/>
          <w:b/>
          <w:color w:val="173D2B"/>
          <w:sz w:val="21"/>
        </w:rPr>
        <w:t xml:space="preserve">1. </w:t>
      </w:r>
      <w:r>
        <w:rPr>
          <w:rFonts w:ascii="Aptos" w:hAnsi="Aptos"/>
          <w:b w:val="0"/>
          <w:color w:val="202724"/>
          <w:sz w:val="21"/>
        </w:rPr>
        <w:t>Le validateur approuve un CalculationSnapshot.</w:t>
      </w:r>
    </w:p>
    <w:p>
      <w:pPr>
        <w:spacing w:after="60" w:line="259" w:lineRule="auto"/>
        <w:ind w:left="259" w:hanging="259"/>
      </w:pPr>
      <w:r>
        <w:rPr>
          <w:rFonts w:ascii="Aptos" w:hAnsi="Aptos"/>
          <w:b/>
          <w:color w:val="173D2B"/>
          <w:sz w:val="21"/>
        </w:rPr>
        <w:t xml:space="preserve">2. </w:t>
      </w:r>
      <w:r>
        <w:rPr>
          <w:rFonts w:ascii="Aptos" w:hAnsi="Aptos"/>
          <w:b w:val="0"/>
          <w:color w:val="202724"/>
          <w:sz w:val="21"/>
        </w:rPr>
        <w:t>L'API crée un ReportVersion en état queued avec l'identifiant du snapshot et du template.</w:t>
      </w:r>
    </w:p>
    <w:p>
      <w:pPr>
        <w:spacing w:after="60" w:line="259" w:lineRule="auto"/>
        <w:ind w:left="259" w:hanging="259"/>
      </w:pPr>
      <w:r>
        <w:rPr>
          <w:rFonts w:ascii="Aptos" w:hAnsi="Aptos"/>
          <w:b/>
          <w:color w:val="173D2B"/>
          <w:sz w:val="21"/>
        </w:rPr>
        <w:t xml:space="preserve">3. </w:t>
      </w:r>
      <w:r>
        <w:rPr>
          <w:rFonts w:ascii="Aptos" w:hAnsi="Aptos"/>
          <w:b w:val="0"/>
          <w:color w:val="202724"/>
          <w:sz w:val="21"/>
        </w:rPr>
        <w:t>BullMQ transmet le job au worker avec une clé d'idempotence.</w:t>
      </w:r>
    </w:p>
    <w:p>
      <w:pPr>
        <w:spacing w:after="60" w:line="259" w:lineRule="auto"/>
        <w:ind w:left="259" w:hanging="259"/>
      </w:pPr>
      <w:r>
        <w:rPr>
          <w:rFonts w:ascii="Aptos" w:hAnsi="Aptos"/>
          <w:b/>
          <w:color w:val="173D2B"/>
          <w:sz w:val="21"/>
        </w:rPr>
        <w:t xml:space="preserve">4. </w:t>
      </w:r>
      <w:r>
        <w:rPr>
          <w:rFonts w:ascii="Aptos" w:hAnsi="Aptos"/>
          <w:b w:val="0"/>
          <w:color w:val="202724"/>
          <w:sz w:val="21"/>
        </w:rPr>
        <w:t>Le worker construit les données de page, rend les graphiques SVG puis le HTML.</w:t>
      </w:r>
    </w:p>
    <w:p>
      <w:pPr>
        <w:spacing w:after="60" w:line="259" w:lineRule="auto"/>
        <w:ind w:left="259" w:hanging="259"/>
      </w:pPr>
      <w:r>
        <w:rPr>
          <w:rFonts w:ascii="Aptos" w:hAnsi="Aptos"/>
          <w:b/>
          <w:color w:val="173D2B"/>
          <w:sz w:val="21"/>
        </w:rPr>
        <w:t xml:space="preserve">5. </w:t>
      </w:r>
      <w:r>
        <w:rPr>
          <w:rFonts w:ascii="Aptos" w:hAnsi="Aptos"/>
          <w:b w:val="0"/>
          <w:color w:val="202724"/>
          <w:sz w:val="21"/>
        </w:rPr>
        <w:t>Playwright exporte le PDF avec une taille 16:9 et les couleurs exactes.</w:t>
      </w:r>
    </w:p>
    <w:p>
      <w:pPr>
        <w:spacing w:after="60" w:line="259" w:lineRule="auto"/>
        <w:ind w:left="259" w:hanging="259"/>
      </w:pPr>
      <w:r>
        <w:rPr>
          <w:rFonts w:ascii="Aptos" w:hAnsi="Aptos"/>
          <w:b/>
          <w:color w:val="173D2B"/>
          <w:sz w:val="21"/>
        </w:rPr>
        <w:t xml:space="preserve">6. </w:t>
      </w:r>
      <w:r>
        <w:rPr>
          <w:rFonts w:ascii="Aptos" w:hAnsi="Aptos"/>
          <w:b w:val="0"/>
          <w:color w:val="202724"/>
          <w:sz w:val="21"/>
        </w:rPr>
        <w:t>Un contrôle automatique vérifie le nombre de pages, les valeurs attendues et l'absence de données manquantes.</w:t>
      </w:r>
    </w:p>
    <w:p>
      <w:pPr>
        <w:spacing w:after="60" w:line="259" w:lineRule="auto"/>
        <w:ind w:left="259" w:hanging="259"/>
      </w:pPr>
      <w:r>
        <w:rPr>
          <w:rFonts w:ascii="Aptos" w:hAnsi="Aptos"/>
          <w:b/>
          <w:color w:val="173D2B"/>
          <w:sz w:val="21"/>
        </w:rPr>
        <w:t xml:space="preserve">7. </w:t>
      </w:r>
      <w:r>
        <w:rPr>
          <w:rFonts w:ascii="Aptos" w:hAnsi="Aptos"/>
          <w:b w:val="0"/>
          <w:color w:val="202724"/>
          <w:sz w:val="21"/>
        </w:rPr>
        <w:t>Le PDF est stocké, haché, publié et lié à sa version. Une nouvelle génération crée une nouvelle version.</w:t>
      </w:r>
    </w:p>
    <w:p>
      <w:pPr>
        <w:pStyle w:val="Heading2"/>
        <w:keepNext/>
        <w:spacing w:before="200" w:after="100"/>
      </w:pPr>
      <w:r>
        <w:rPr>
          <w:rFonts w:ascii="Aptos" w:hAnsi="Aptos"/>
          <w:b/>
          <w:color w:val="000000"/>
          <w:sz w:val="25"/>
        </w:rPr>
        <w:t>Règles de cohérence documentaire</w:t>
      </w:r>
    </w:p>
    <w:p>
      <w:pPr>
        <w:pStyle w:val="ListBullet"/>
        <w:spacing w:after="60" w:line="259" w:lineRule="auto"/>
      </w:pPr>
      <w:r>
        <w:rPr>
          <w:rFonts w:ascii="Aptos" w:hAnsi="Aptos"/>
          <w:b w:val="0"/>
          <w:color w:val="202724"/>
          <w:sz w:val="21"/>
        </w:rPr>
        <w:t>Aucun total, pourcentage, ROI ou durée n'est saisi directement dans le texte du rapport.</w:t>
      </w:r>
    </w:p>
    <w:p>
      <w:pPr>
        <w:pStyle w:val="ListBullet"/>
        <w:spacing w:after="60" w:line="259" w:lineRule="auto"/>
      </w:pPr>
      <w:r>
        <w:rPr>
          <w:rFonts w:ascii="Aptos" w:hAnsi="Aptos"/>
          <w:b w:val="0"/>
          <w:color w:val="202724"/>
          <w:sz w:val="21"/>
        </w:rPr>
        <w:t>Les pages consomment les mêmes identifiants de métriques que le tableau de contrôle de l'application.</w:t>
      </w:r>
    </w:p>
    <w:p>
      <w:pPr>
        <w:pStyle w:val="ListBullet"/>
        <w:spacing w:after="60" w:line="259" w:lineRule="auto"/>
      </w:pPr>
      <w:r>
        <w:rPr>
          <w:rFonts w:ascii="Aptos" w:hAnsi="Aptos"/>
          <w:b w:val="0"/>
          <w:color w:val="202724"/>
          <w:sz w:val="21"/>
        </w:rPr>
        <w:t>Les graphiques reçoivent les mêmes séries que les tableaux, pas une copie recalculée côté front.</w:t>
      </w:r>
    </w:p>
    <w:p>
      <w:pPr>
        <w:pStyle w:val="ListBullet"/>
        <w:spacing w:after="60" w:line="259" w:lineRule="auto"/>
      </w:pPr>
      <w:r>
        <w:rPr>
          <w:rFonts w:ascii="Aptos" w:hAnsi="Aptos"/>
          <w:b w:val="0"/>
          <w:color w:val="202724"/>
          <w:sz w:val="21"/>
        </w:rPr>
        <w:t>Le rapport affiche l'unité, la devise, la période, le contexte de capacité et les principales hypothèses.</w:t>
      </w:r>
    </w:p>
    <w:p>
      <w:pPr>
        <w:pStyle w:val="ListBullet"/>
        <w:spacing w:after="60" w:line="259" w:lineRule="auto"/>
      </w:pPr>
      <w:r>
        <w:rPr>
          <w:rFonts w:ascii="Aptos" w:hAnsi="Aptos"/>
          <w:b w:val="0"/>
          <w:color w:val="202724"/>
          <w:sz w:val="21"/>
        </w:rPr>
        <w:t>La recommandation échoue explicitement si le scénario sélectionné n'existe pas dans le snapshot.</w:t>
      </w:r>
    </w:p>
    <w:p>
      <w:pPr>
        <w:pStyle w:val="Heading1"/>
        <w:keepNext/>
        <w:spacing w:before="280" w:after="100"/>
      </w:pPr>
      <w:r>
        <w:rPr>
          <w:rFonts w:ascii="Aptos" w:hAnsi="Aptos"/>
          <w:b/>
          <w:color w:val="000000"/>
          <w:sz w:val="32"/>
        </w:rPr>
        <w:t>11 Sécurité qualité et exploitation</w:t>
      </w:r>
    </w:p>
    <w:p>
      <w:pPr>
        <w:pStyle w:val="Heading2"/>
        <w:keepNext/>
        <w:spacing w:before="200" w:after="100"/>
      </w:pPr>
      <w:r>
        <w:rPr>
          <w:rFonts w:ascii="Aptos" w:hAnsi="Aptos"/>
          <w:b/>
          <w:color w:val="000000"/>
          <w:sz w:val="25"/>
        </w:rPr>
        <w:t>Sécurité</w:t>
      </w:r>
    </w:p>
    <w:tbl>
      <w:tblPr>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1872"/>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Sujet</w:t>
            </w:r>
          </w:p>
        </w:tc>
        <w:tc>
          <w:tcPr>
            <w:tcW w:type="dxa" w:w="8063"/>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Mesure</w:t>
            </w:r>
          </w:p>
        </w:tc>
      </w:tr>
      <w:tr>
        <w:trPr>
          <w:cantSplit w:val="true"/>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Isolation</w:t>
            </w:r>
          </w:p>
        </w:tc>
        <w:tc>
          <w:tcPr>
            <w:tcW w:type="dxa" w:w="806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organization_id et contrôles d'autorisation systématiques sur les dossiers, fichiers et rapports</w:t>
            </w:r>
          </w:p>
        </w:tc>
      </w:tr>
      <w:tr>
        <w:trPr>
          <w:cantSplit w:val="true"/>
        </w:trPr>
        <w:tc>
          <w:tcPr>
            <w:tcW w:type="dxa" w:w="187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Lien client</w:t>
            </w:r>
          </w:p>
        </w:tc>
        <w:tc>
          <w:tcPr>
            <w:tcW w:type="dxa" w:w="8063"/>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Jeton à usage limité, expiration, révocation, rate limiting et vérification d'email si nécessaire</w:t>
            </w:r>
          </w:p>
        </w:tc>
      </w:tr>
      <w:tr>
        <w:trPr>
          <w:cantSplit w:val="true"/>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Fichiers</w:t>
            </w:r>
          </w:p>
        </w:tc>
        <w:tc>
          <w:tcPr>
            <w:tcW w:type="dxa" w:w="806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Bucket privé, URL signée courte, antivirus, types et tailles autorisés, noms neutralisés</w:t>
            </w:r>
          </w:p>
        </w:tc>
      </w:tr>
      <w:tr>
        <w:trPr>
          <w:cantSplit w:val="true"/>
        </w:trPr>
        <w:tc>
          <w:tcPr>
            <w:tcW w:type="dxa" w:w="187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Données</w:t>
            </w:r>
          </w:p>
        </w:tc>
        <w:tc>
          <w:tcPr>
            <w:tcW w:type="dxa" w:w="8063"/>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TLS, chiffrement au repos, secrets hors du code, sauvegardes et test de restauration</w:t>
            </w:r>
          </w:p>
        </w:tc>
      </w:tr>
      <w:tr>
        <w:trPr>
          <w:cantSplit w:val="true"/>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Rôles</w:t>
            </w:r>
          </w:p>
        </w:tc>
        <w:tc>
          <w:tcPr>
            <w:tcW w:type="dxa" w:w="806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Permissions explicites pour compléter, approuver, publier, modifier un devis et administrer</w:t>
            </w:r>
          </w:p>
        </w:tc>
      </w:tr>
      <w:tr>
        <w:trPr>
          <w:cantSplit w:val="true"/>
        </w:trPr>
        <w:tc>
          <w:tcPr>
            <w:tcW w:type="dxa" w:w="187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Audit</w:t>
            </w:r>
          </w:p>
        </w:tc>
        <w:tc>
          <w:tcPr>
            <w:tcW w:type="dxa" w:w="8063"/>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Ancienne valeur, nouvelle valeur, auteur, date, source et dossier pour toute modification sensible</w:t>
            </w:r>
          </w:p>
        </w:tc>
      </w:tr>
      <w:tr>
        <w:trPr>
          <w:cantSplit w:val="true"/>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Publication</w:t>
            </w:r>
          </w:p>
        </w:tc>
        <w:tc>
          <w:tcPr>
            <w:tcW w:type="dxa" w:w="806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Rapports immuables, hash du fichier et historique des versions</w:t>
            </w:r>
          </w:p>
        </w:tc>
      </w:tr>
    </w:tbl>
    <w:p>
      <w:pPr>
        <w:spacing w:after="40"/>
      </w:pPr>
    </w:p>
    <w:p>
      <w:pPr>
        <w:pStyle w:val="Heading2"/>
        <w:keepNext/>
        <w:spacing w:before="200" w:after="100"/>
      </w:pPr>
      <w:r>
        <w:rPr>
          <w:rFonts w:ascii="Aptos" w:hAnsi="Aptos"/>
          <w:b/>
          <w:color w:val="000000"/>
          <w:sz w:val="25"/>
        </w:rPr>
        <w:t>Qualité et tests</w:t>
      </w:r>
    </w:p>
    <w:tbl>
      <w:tblPr>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1944"/>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Type de test</w:t>
            </w:r>
          </w:p>
        </w:tc>
        <w:tc>
          <w:tcPr>
            <w:tcW w:type="dxa" w:w="7992"/>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Couverture minimale</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Unitaires</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Chaque formule, annualisation, arrondi, unité, applicabilité et cas limite</w:t>
            </w:r>
          </w:p>
        </w:tc>
      </w:tr>
      <w:tr>
        <w:trPr>
          <w:cantSplit w:val="true"/>
        </w:trPr>
        <w:tc>
          <w:tcPr>
            <w:tcW w:type="dxa" w:w="194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Propriétés</w:t>
            </w:r>
          </w:p>
        </w:tc>
        <w:tc>
          <w:tcPr>
            <w:tcW w:type="dxa" w:w="799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Économie jamais supérieure à la baseline sans revenu externe ; taux entre 0 et 100 pour cent</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Intégration</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Transactions, contraintes PostgreSQL, jobs idempotents, stockage et permissions</w:t>
            </w:r>
          </w:p>
        </w:tc>
      </w:tr>
      <w:tr>
        <w:trPr>
          <w:cantSplit w:val="true"/>
        </w:trPr>
        <w:tc>
          <w:tcPr>
            <w:tcW w:type="dxa" w:w="194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E2E</w:t>
            </w:r>
          </w:p>
        </w:tc>
        <w:tc>
          <w:tcPr>
            <w:tcW w:type="dxa" w:w="799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Création, lien client, reprise, soumission, correction, approbation et téléchargement</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Golden master</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Jeu DELIFOOD anonymisé avec résultats attendus sur pages 5, 7 et 9</w:t>
            </w:r>
          </w:p>
        </w:tc>
      </w:tr>
      <w:tr>
        <w:trPr>
          <w:cantSplit w:val="true"/>
        </w:trPr>
        <w:tc>
          <w:tcPr>
            <w:tcW w:type="dxa" w:w="194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Visuels</w:t>
            </w:r>
          </w:p>
        </w:tc>
        <w:tc>
          <w:tcPr>
            <w:tcW w:type="dxa" w:w="799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Comparaison d'images des pages PDF critiques pour détecter les régressions de mise en page</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Sécurité</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Accès inter-organisation, expiration des liens, upload malveillant et rate limiting</w:t>
            </w:r>
          </w:p>
        </w:tc>
      </w:tr>
    </w:tbl>
    <w:p>
      <w:pPr>
        <w:spacing w:after="40"/>
      </w:pPr>
    </w:p>
    <w:p>
      <w:pPr>
        <w:pStyle w:val="Heading2"/>
        <w:keepNext/>
        <w:spacing w:before="200" w:after="100"/>
      </w:pPr>
      <w:r>
        <w:rPr>
          <w:rFonts w:ascii="Aptos" w:hAnsi="Aptos"/>
          <w:b/>
          <w:color w:val="000000"/>
          <w:sz w:val="25"/>
        </w:rPr>
        <w:t>Observabilité</w:t>
      </w:r>
    </w:p>
    <w:p>
      <w:pPr>
        <w:pStyle w:val="ListBullet"/>
        <w:spacing w:after="60" w:line="259" w:lineRule="auto"/>
      </w:pPr>
      <w:r>
        <w:rPr>
          <w:rFonts w:ascii="Aptos" w:hAnsi="Aptos"/>
          <w:b w:val="0"/>
          <w:color w:val="202724"/>
          <w:sz w:val="21"/>
        </w:rPr>
        <w:t>Mesurer le taux de dossiers soumis, le temps moyen de complétion et les questions les plus abandonnées.</w:t>
      </w:r>
    </w:p>
    <w:p>
      <w:pPr>
        <w:pStyle w:val="ListBullet"/>
        <w:spacing w:after="60" w:line="259" w:lineRule="auto"/>
      </w:pPr>
      <w:r>
        <w:rPr>
          <w:rFonts w:ascii="Aptos" w:hAnsi="Aptos"/>
          <w:b w:val="0"/>
          <w:color w:val="202724"/>
          <w:sz w:val="21"/>
        </w:rPr>
        <w:t>Suivre les jobs par type, durée, erreur, tentative, dossier et version de template.</w:t>
      </w:r>
    </w:p>
    <w:p>
      <w:pPr>
        <w:pStyle w:val="ListBullet"/>
        <w:spacing w:after="60" w:line="259" w:lineRule="auto"/>
      </w:pPr>
      <w:r>
        <w:rPr>
          <w:rFonts w:ascii="Aptos" w:hAnsi="Aptos"/>
          <w:b w:val="0"/>
          <w:color w:val="202724"/>
          <w:sz w:val="21"/>
        </w:rPr>
        <w:t>Tracer un calculation_run_id depuis l'API jusqu'au PDF pour expliquer tout chiffre produit.</w:t>
      </w:r>
    </w:p>
    <w:p>
      <w:pPr>
        <w:pStyle w:val="ListBullet"/>
        <w:spacing w:after="60" w:line="259" w:lineRule="auto"/>
      </w:pPr>
      <w:r>
        <w:rPr>
          <w:rFonts w:ascii="Aptos" w:hAnsi="Aptos"/>
          <w:b w:val="0"/>
          <w:color w:val="202724"/>
          <w:sz w:val="21"/>
        </w:rPr>
        <w:t>Alerter sur les échecs répétés, la file bloquée, l'espace de stockage, la base et les sauvegardes.</w:t>
      </w:r>
    </w:p>
    <w:p>
      <w:pPr>
        <w:pStyle w:val="ListBullet"/>
        <w:spacing w:after="60" w:line="259" w:lineRule="auto"/>
      </w:pPr>
      <w:r>
        <w:rPr>
          <w:rFonts w:ascii="Aptos" w:hAnsi="Aptos"/>
          <w:b w:val="0"/>
          <w:color w:val="202724"/>
          <w:sz w:val="21"/>
        </w:rPr>
        <w:t>Utiliser des données analytiques agrégées et éviter d'envoyer les montants sensibles aux outils externes sans validation.</w:t>
      </w:r>
    </w:p>
    <w:p>
      <w:pPr>
        <w:pStyle w:val="Heading1"/>
        <w:keepNext/>
        <w:spacing w:before="280" w:after="100"/>
      </w:pPr>
      <w:r>
        <w:rPr>
          <w:rFonts w:ascii="Aptos" w:hAnsi="Aptos"/>
          <w:b/>
          <w:color w:val="000000"/>
          <w:sz w:val="32"/>
        </w:rPr>
        <w:t>12 Découpage MVP et critères de recette</w:t>
      </w:r>
    </w:p>
    <w:p>
      <w:pPr>
        <w:pStyle w:val="Heading2"/>
        <w:keepNext/>
        <w:spacing w:before="200" w:after="100"/>
      </w:pPr>
      <w:r>
        <w:rPr>
          <w:rFonts w:ascii="Aptos" w:hAnsi="Aptos"/>
          <w:b/>
          <w:color w:val="000000"/>
          <w:sz w:val="25"/>
        </w:rPr>
        <w:t>Lots recommandés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1655"/>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Lot</w:t>
            </w:r>
          </w:p>
        </w:tc>
        <w:tc>
          <w:tcPr>
            <w:tcW w:type="dxa" w:w="5112"/>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Livrables</w:t>
            </w:r>
          </w:p>
        </w:tc>
        <w:tc>
          <w:tcPr>
            <w:tcW w:type="dxa" w:w="3168"/>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Condition de sortie</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0 Règles métier</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Dictionnaire de données, formules, unités, coût caché, scénarios et jeu de référence</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Résultats du modèle reproduits et incohérences tranchées</w:t>
            </w:r>
          </w:p>
        </w:tc>
      </w:tr>
      <w:tr>
        <w:trPr>
          <w:cantSplit w:val="true"/>
        </w:trPr>
        <w:tc>
          <w:tcPr>
            <w:tcW w:type="dxa" w:w="1655"/>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1 Socle et dossiers</w:t>
            </w:r>
          </w:p>
        </w:tc>
        <w:tc>
          <w:tcPr>
            <w:tcW w:type="dxa" w:w="511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Auth, rôles, clients, sites, dossiers, statuts et activité</w:t>
            </w:r>
          </w:p>
        </w:tc>
        <w:tc>
          <w:tcPr>
            <w:tcW w:type="dxa" w:w="316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Un analyste crée et affecte un dossier</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2 Collecte</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Lien client, formulaire adaptatif, autosave, pièces et complétude</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Le client soumet et l'analyste voit exactement ce qui manque</w:t>
            </w:r>
          </w:p>
        </w:tc>
      </w:tr>
      <w:tr>
        <w:trPr>
          <w:cantSplit w:val="true"/>
        </w:trPr>
        <w:tc>
          <w:tcPr>
            <w:tcW w:type="dxa" w:w="1655"/>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3 Diagnostic</w:t>
            </w:r>
          </w:p>
        </w:tc>
        <w:tc>
          <w:tcPr>
            <w:tcW w:type="dxa" w:w="511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Normalisation, moteur, contrôles, coûts visibles et cachés</w:t>
            </w:r>
          </w:p>
        </w:tc>
        <w:tc>
          <w:tcPr>
            <w:tcW w:type="dxa" w:w="316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Jeu de référence calculé sans intervention manuelle</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4 Scénarios</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Réductions, investissement, économies, retour, courbe et recommandation</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Trois scénarios comparables et approuvables</w:t>
            </w:r>
          </w:p>
        </w:tc>
      </w:tr>
      <w:tr>
        <w:trPr>
          <w:cantSplit w:val="true"/>
        </w:trPr>
        <w:tc>
          <w:tcPr>
            <w:tcW w:type="dxa" w:w="1655"/>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5 Rapport</w:t>
            </w:r>
          </w:p>
        </w:tc>
        <w:tc>
          <w:tcPr>
            <w:tcW w:type="dxa" w:w="511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Template 16:9, graphiques SVG, worker, PDF, versions et publication</w:t>
            </w:r>
          </w:p>
        </w:tc>
        <w:tc>
          <w:tcPr>
            <w:tcW w:type="dxa" w:w="316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Rapport identique aux valeurs approuvées</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6 Devis et finition</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Devis lié, notifications, analytics, audit renforcé et recette</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Parcours complet validé en préproduction</w:t>
            </w:r>
          </w:p>
        </w:tc>
      </w:tr>
    </w:tbl>
    <w:p>
      <w:pPr>
        <w:spacing w:after="40"/>
      </w:pPr>
    </w:p>
    <w:p>
      <w:pPr>
        <w:pStyle w:val="Heading2"/>
        <w:keepNext/>
        <w:spacing w:before="200" w:after="100"/>
      </w:pPr>
      <w:r>
        <w:rPr>
          <w:rFonts w:ascii="Aptos" w:hAnsi="Aptos"/>
          <w:b/>
          <w:color w:val="000000"/>
          <w:sz w:val="25"/>
        </w:rPr>
        <w:t>MoSCoW du MVP</w:t>
      </w:r>
    </w:p>
    <w:tbl>
      <w:tblPr>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1728"/>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Priorité</w:t>
            </w:r>
          </w:p>
        </w:tc>
        <w:tc>
          <w:tcPr>
            <w:tcW w:type="dxa" w:w="8208"/>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Éléments</w:t>
            </w:r>
          </w:p>
        </w:tc>
      </w:tr>
      <w:tr>
        <w:trPr>
          <w:cantSplit w:val="true"/>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Must</w:t>
            </w:r>
          </w:p>
        </w:tc>
        <w:tc>
          <w:tcPr>
            <w:tcW w:type="dxa" w:w="82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Dossiers, lien client, formulaire conditionnel, 12 factures, coûts cachés applicables, contrôle de complétude, scénarios, calcul versionné, PDF, rôles, audit</w:t>
            </w:r>
          </w:p>
        </w:tc>
      </w:tr>
      <w:tr>
        <w:trPr>
          <w:cantSplit w:val="true"/>
        </w:trPr>
        <w:tc>
          <w:tcPr>
            <w:tcW w:type="dxa" w:w="17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Should</w:t>
            </w:r>
          </w:p>
        </w:tc>
        <w:tc>
          <w:tcPr>
            <w:tcW w:type="dxa" w:w="820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Devis, relances, aperçu PDF, duplication de dossier, export CSV, comparaison basse centrale haute</w:t>
            </w:r>
          </w:p>
        </w:tc>
      </w:tr>
      <w:tr>
        <w:trPr>
          <w:cantSplit w:val="true"/>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Could</w:t>
            </w:r>
          </w:p>
        </w:tc>
        <w:tc>
          <w:tcPr>
            <w:tcW w:type="dxa" w:w="82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OCR, import ERP, commentaires temps réel, signature électronique, portail client permanent</w:t>
            </w:r>
          </w:p>
        </w:tc>
      </w:tr>
      <w:tr>
        <w:trPr>
          <w:cantSplit w:val="true"/>
        </w:trPr>
        <w:tc>
          <w:tcPr>
            <w:tcW w:type="dxa" w:w="17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Won't MVP</w:t>
            </w:r>
          </w:p>
        </w:tc>
        <w:tc>
          <w:tcPr>
            <w:tcW w:type="dxa" w:w="820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Microservices, IA qui invente les hypothèses, application mobile native, éditeur libre de formules en production</w:t>
            </w:r>
          </w:p>
        </w:tc>
      </w:tr>
    </w:tbl>
    <w:p>
      <w:pPr>
        <w:spacing w:after="40"/>
      </w:pPr>
    </w:p>
    <w:p>
      <w:pPr>
        <w:pStyle w:val="Heading2"/>
        <w:keepNext/>
        <w:spacing w:before="200" w:after="100"/>
      </w:pPr>
      <w:r>
        <w:rPr>
          <w:rFonts w:ascii="Aptos" w:hAnsi="Aptos"/>
          <w:b/>
          <w:color w:val="000000"/>
          <w:sz w:val="25"/>
        </w:rPr>
        <w:t>Critères de recette incontournables</w:t>
      </w:r>
    </w:p>
    <w:p>
      <w:pPr>
        <w:spacing w:after="60" w:line="259" w:lineRule="auto"/>
        <w:ind w:left="259" w:hanging="259"/>
      </w:pPr>
      <w:r>
        <w:rPr>
          <w:rFonts w:ascii="Aptos" w:hAnsi="Aptos"/>
          <w:b/>
          <w:color w:val="173D2B"/>
          <w:sz w:val="21"/>
        </w:rPr>
        <w:t xml:space="preserve">1. </w:t>
      </w:r>
      <w:r>
        <w:rPr>
          <w:rFonts w:ascii="Aptos" w:hAnsi="Aptos"/>
          <w:b w:val="0"/>
          <w:color w:val="202724"/>
          <w:sz w:val="21"/>
        </w:rPr>
        <w:t>Le système refuse deux factures portant la même période et signale tout mois absent dans les douze mois.</w:t>
      </w:r>
    </w:p>
    <w:p>
      <w:pPr>
        <w:spacing w:after="60" w:line="259" w:lineRule="auto"/>
        <w:ind w:left="259" w:hanging="259"/>
      </w:pPr>
      <w:r>
        <w:rPr>
          <w:rFonts w:ascii="Aptos" w:hAnsi="Aptos"/>
          <w:b/>
          <w:color w:val="173D2B"/>
          <w:sz w:val="21"/>
        </w:rPr>
        <w:t xml:space="preserve">2. </w:t>
      </w:r>
      <w:r>
        <w:rPr>
          <w:rFonts w:ascii="Aptos" w:hAnsi="Aptos"/>
          <w:b w:val="0"/>
          <w:color w:val="202724"/>
          <w:sz w:val="21"/>
        </w:rPr>
        <w:t>Un coût caché marqué non applicable ne participe ni au total ni aux scénarios et conserve sa justification.</w:t>
      </w:r>
    </w:p>
    <w:p>
      <w:pPr>
        <w:spacing w:after="60" w:line="259" w:lineRule="auto"/>
        <w:ind w:left="259" w:hanging="259"/>
      </w:pPr>
      <w:r>
        <w:rPr>
          <w:rFonts w:ascii="Aptos" w:hAnsi="Aptos"/>
          <w:b/>
          <w:color w:val="173D2B"/>
          <w:sz w:val="21"/>
        </w:rPr>
        <w:t xml:space="preserve">3. </w:t>
      </w:r>
      <w:r>
        <w:rPr>
          <w:rFonts w:ascii="Aptos" w:hAnsi="Aptos"/>
          <w:b w:val="0"/>
          <w:color w:val="202724"/>
          <w:sz w:val="21"/>
        </w:rPr>
        <w:t>La somme du tableau, la valeur du graphique et le texte de synthèse sont identiques au franc près selon la règle d'arrondi définie.</w:t>
      </w:r>
    </w:p>
    <w:p>
      <w:pPr>
        <w:spacing w:after="60" w:line="259" w:lineRule="auto"/>
        <w:ind w:left="259" w:hanging="259"/>
      </w:pPr>
      <w:r>
        <w:rPr>
          <w:rFonts w:ascii="Aptos" w:hAnsi="Aptos"/>
          <w:b/>
          <w:color w:val="173D2B"/>
          <w:sz w:val="21"/>
        </w:rPr>
        <w:t xml:space="preserve">4. </w:t>
      </w:r>
      <w:r>
        <w:rPr>
          <w:rFonts w:ascii="Aptos" w:hAnsi="Aptos"/>
          <w:b w:val="0"/>
          <w:color w:val="202724"/>
          <w:sz w:val="21"/>
        </w:rPr>
        <w:t>Le délai de retour affiché partout est calculé à partir du même investissement et de la même économie annuelle.</w:t>
      </w:r>
    </w:p>
    <w:p>
      <w:pPr>
        <w:spacing w:after="60" w:line="259" w:lineRule="auto"/>
        <w:ind w:left="259" w:hanging="259"/>
      </w:pPr>
      <w:r>
        <w:rPr>
          <w:rFonts w:ascii="Aptos" w:hAnsi="Aptos"/>
          <w:b/>
          <w:color w:val="173D2B"/>
          <w:sz w:val="21"/>
        </w:rPr>
        <w:t xml:space="preserve">5. </w:t>
      </w:r>
      <w:r>
        <w:rPr>
          <w:rFonts w:ascii="Aptos" w:hAnsi="Aptos"/>
          <w:b w:val="0"/>
          <w:color w:val="202724"/>
          <w:sz w:val="21"/>
        </w:rPr>
        <w:t>Une modification après approbation force une nouvelle version avant de pouvoir republier.</w:t>
      </w:r>
    </w:p>
    <w:p>
      <w:pPr>
        <w:spacing w:after="60" w:line="259" w:lineRule="auto"/>
        <w:ind w:left="259" w:hanging="259"/>
      </w:pPr>
      <w:r>
        <w:rPr>
          <w:rFonts w:ascii="Aptos" w:hAnsi="Aptos"/>
          <w:b/>
          <w:color w:val="173D2B"/>
          <w:sz w:val="21"/>
        </w:rPr>
        <w:t xml:space="preserve">6. </w:t>
      </w:r>
      <w:r>
        <w:rPr>
          <w:rFonts w:ascii="Aptos" w:hAnsi="Aptos"/>
          <w:b w:val="0"/>
          <w:color w:val="202724"/>
          <w:sz w:val="21"/>
        </w:rPr>
        <w:t>Un client ne peut jamais voir le dossier, la pièce ou le rapport d'une autre entreprise.</w:t>
      </w:r>
    </w:p>
    <w:p>
      <w:pPr>
        <w:spacing w:after="60" w:line="259" w:lineRule="auto"/>
        <w:ind w:left="259" w:hanging="259"/>
      </w:pPr>
      <w:r>
        <w:rPr>
          <w:rFonts w:ascii="Aptos" w:hAnsi="Aptos"/>
          <w:b/>
          <w:color w:val="173D2B"/>
          <w:sz w:val="21"/>
        </w:rPr>
        <w:t xml:space="preserve">7. </w:t>
      </w:r>
      <w:r>
        <w:rPr>
          <w:rFonts w:ascii="Aptos" w:hAnsi="Aptos"/>
          <w:b w:val="0"/>
          <w:color w:val="202724"/>
          <w:sz w:val="21"/>
        </w:rPr>
        <w:t>Un job PDF rejoué ne crée pas plusieurs rapports différents pour le même snapshot et la même version de template.</w:t>
      </w:r>
    </w:p>
    <w:p>
      <w:pPr>
        <w:spacing w:after="60" w:line="259" w:lineRule="auto"/>
        <w:ind w:left="259" w:hanging="259"/>
      </w:pPr>
      <w:r>
        <w:rPr>
          <w:rFonts w:ascii="Aptos" w:hAnsi="Aptos"/>
          <w:b/>
          <w:color w:val="173D2B"/>
          <w:sz w:val="21"/>
        </w:rPr>
        <w:t xml:space="preserve">8. </w:t>
      </w:r>
      <w:r>
        <w:rPr>
          <w:rFonts w:ascii="Aptos" w:hAnsi="Aptos"/>
          <w:b w:val="0"/>
          <w:color w:val="202724"/>
          <w:sz w:val="21"/>
        </w:rPr>
        <w:t>Le rapport DELIFOOD de référence peut être reproduit avec les chiffres approuvés, puis les deux incohérences identifiées sont impossibles.</w:t>
      </w:r>
    </w:p>
    <w:p>
      <w:pPr>
        <w:pStyle w:val="Heading1"/>
        <w:keepNext/>
        <w:spacing w:before="280" w:after="100"/>
      </w:pPr>
      <w:r>
        <w:rPr>
          <w:rFonts w:ascii="Aptos" w:hAnsi="Aptos"/>
          <w:b/>
          <w:color w:val="000000"/>
          <w:sz w:val="32"/>
        </w:rPr>
        <w:t>13 Décisions à valider avec le client</w:t>
      </w:r>
    </w:p>
    <w:p>
      <w:pPr>
        <w:spacing w:after="120" w:line="269" w:lineRule="auto"/>
      </w:pPr>
      <w:r>
        <w:rPr>
          <w:rFonts w:ascii="Aptos" w:hAnsi="Aptos"/>
          <w:b w:val="0"/>
          <w:i w:val="0"/>
          <w:color w:val="202724"/>
          <w:sz w:val="21"/>
        </w:rPr>
        <w:t>Ces décisions doivent être tranchées avant le lot 2 ou au plus tard avant l'implémentation du moteur de calcul.</w:t>
      </w:r>
    </w:p>
    <w:tbl>
      <w:tblPr>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1728"/>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Décision</w:t>
            </w:r>
          </w:p>
        </w:tc>
        <w:tc>
          <w:tcPr>
            <w:tcW w:type="dxa" w:w="4608"/>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Options à trancher</w:t>
            </w:r>
          </w:p>
        </w:tc>
        <w:tc>
          <w:tcPr>
            <w:tcW w:type="dxa" w:w="3600"/>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Recommandation</w:t>
            </w:r>
          </w:p>
        </w:tc>
      </w:tr>
      <w:tr>
        <w:trPr>
          <w:cantSplit w:val="true"/>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Période réseau</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12 factures obligatoires ou annualisation d'une période plus courte</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12 factures consécutives pour un rapport final</w:t>
            </w:r>
          </w:p>
        </w:tc>
      </w:tr>
      <w:tr>
        <w:trPr>
          <w:cantSplit w:val="true"/>
        </w:trPr>
        <w:tc>
          <w:tcPr>
            <w:tcW w:type="dxa" w:w="17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Base fiscale</w:t>
            </w:r>
          </w:p>
        </w:tc>
        <w:tc>
          <w:tcPr>
            <w:tcW w:type="dxa" w:w="460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Montants HT ou TTC</w:t>
            </w:r>
          </w:p>
        </w:tc>
        <w:tc>
          <w:tcPr>
            <w:tcW w:type="dxa" w:w="360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Choisir une règle globale et l'afficher partout</w:t>
            </w:r>
          </w:p>
        </w:tc>
      </w:tr>
      <w:tr>
        <w:trPr>
          <w:cantSplit w:val="true"/>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Marge</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Marge brute, contributive ou nette</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Marge contributive documentée pour la perte de production</w:t>
            </w:r>
          </w:p>
        </w:tc>
      </w:tr>
      <w:tr>
        <w:trPr>
          <w:cantSplit w:val="true"/>
        </w:trPr>
        <w:tc>
          <w:tcPr>
            <w:tcW w:type="dxa" w:w="17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Personnel</w:t>
            </w:r>
          </w:p>
        </w:tc>
        <w:tc>
          <w:tcPr>
            <w:tcW w:type="dxa" w:w="460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Coût séparé ou inclus dans la marge</w:t>
            </w:r>
          </w:p>
        </w:tc>
        <w:tc>
          <w:tcPr>
            <w:tcW w:type="dxa" w:w="360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Séparé seulement avec règle anti double comptage</w:t>
            </w:r>
          </w:p>
        </w:tc>
      </w:tr>
      <w:tr>
        <w:trPr>
          <w:cantSplit w:val="true"/>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Matières</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Incluse ou séparée</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Séparée si rebut certain et non déjà inclus</w:t>
            </w:r>
          </w:p>
        </w:tc>
      </w:tr>
      <w:tr>
        <w:trPr>
          <w:cantSplit w:val="true"/>
        </w:trPr>
        <w:tc>
          <w:tcPr>
            <w:tcW w:type="dxa" w:w="17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Puissance</w:t>
            </w:r>
          </w:p>
        </w:tc>
        <w:tc>
          <w:tcPr>
            <w:tcW w:type="dxa" w:w="460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Calcul tarifaire ou ligne facturée</w:t>
            </w:r>
          </w:p>
        </w:tc>
        <w:tc>
          <w:tcPr>
            <w:tcW w:type="dxa" w:w="360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Utiliser la ligne facturée au MVP</w:t>
            </w:r>
          </w:p>
        </w:tc>
      </w:tr>
      <w:tr>
        <w:trPr>
          <w:cantSplit w:val="true"/>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Scénarios</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Taux libres ou catalogue de solutions</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Catalogue prérempli mais chaque taux reste justifié et éditable</w:t>
            </w:r>
          </w:p>
        </w:tc>
      </w:tr>
      <w:tr>
        <w:trPr>
          <w:cantSplit w:val="true"/>
        </w:trPr>
        <w:tc>
          <w:tcPr>
            <w:tcW w:type="dxa" w:w="17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Indicateur</w:t>
            </w:r>
          </w:p>
        </w:tc>
        <w:tc>
          <w:tcPr>
            <w:tcW w:type="dxa" w:w="460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ROI ou délai de retour</w:t>
            </w:r>
          </w:p>
        </w:tc>
        <w:tc>
          <w:tcPr>
            <w:tcW w:type="dxa" w:w="360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Afficher les deux avec des noms corrects</w:t>
            </w:r>
          </w:p>
        </w:tc>
      </w:tr>
      <w:tr>
        <w:trPr>
          <w:cantSplit w:val="true"/>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Horizon</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5, 10, 15 ou 20 ans</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10 ans par défaut, modifiable</w:t>
            </w:r>
          </w:p>
        </w:tc>
      </w:tr>
      <w:tr>
        <w:trPr>
          <w:cantSplit w:val="true"/>
        </w:trPr>
        <w:tc>
          <w:tcPr>
            <w:tcW w:type="dxa" w:w="17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Validation</w:t>
            </w:r>
          </w:p>
        </w:tc>
        <w:tc>
          <w:tcPr>
            <w:tcW w:type="dxa" w:w="460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Une ou deux approbations</w:t>
            </w:r>
          </w:p>
        </w:tc>
        <w:tc>
          <w:tcPr>
            <w:tcW w:type="dxa" w:w="360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Technique avant publication, commerciale avant devis</w:t>
            </w:r>
          </w:p>
        </w:tc>
      </w:tr>
      <w:tr>
        <w:trPr>
          <w:cantSplit w:val="true"/>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Rapport</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PDF seul ou PDF plus PowerPoint</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PDF au MVP ; PPTX seulement si besoin confirmé</w:t>
            </w:r>
          </w:p>
        </w:tc>
      </w:tr>
      <w:tr>
        <w:trPr>
          <w:cantSplit w:val="true"/>
        </w:trPr>
        <w:tc>
          <w:tcPr>
            <w:tcW w:type="dxa" w:w="172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Hébergement</w:t>
            </w:r>
          </w:p>
        </w:tc>
        <w:tc>
          <w:tcPr>
            <w:tcW w:type="dxa" w:w="4608"/>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AWS managé ou VPS</w:t>
            </w:r>
          </w:p>
        </w:tc>
        <w:tc>
          <w:tcPr>
            <w:tcW w:type="dxa" w:w="3600"/>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AWS managé pour la production ; VPS seulement pour prototype</w:t>
            </w:r>
          </w:p>
        </w:tc>
      </w:tr>
    </w:tbl>
    <w:p>
      <w:pPr>
        <w:spacing w:after="40"/>
      </w:pPr>
    </w:p>
    <w:p>
      <w:pPr>
        <w:pStyle w:val="Heading1"/>
        <w:keepNext/>
        <w:spacing w:before="280" w:after="100"/>
      </w:pPr>
      <w:r>
        <w:rPr>
          <w:rFonts w:ascii="Aptos" w:hAnsi="Aptos"/>
          <w:b/>
          <w:color w:val="000000"/>
          <w:sz w:val="32"/>
        </w:rPr>
        <w:t>Annexe A Exemple de données de référence</w:t>
      </w:r>
    </w:p>
    <w:p>
      <w:pPr>
        <w:spacing w:after="120" w:line="269" w:lineRule="auto"/>
      </w:pPr>
      <w:r>
        <w:rPr>
          <w:rFonts w:ascii="Aptos" w:hAnsi="Aptos"/>
          <w:b w:val="0"/>
          <w:i w:val="0"/>
          <w:color w:val="202724"/>
          <w:sz w:val="21"/>
        </w:rPr>
        <w:t>Les chiffres ci-dessous proviennent du modèle de rapport et servent uniquement de jeu de non-régression du moteur.</w:t>
      </w:r>
    </w:p>
    <w:tbl>
      <w:tblPr>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6623"/>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8"/>
              </w:rPr>
              <w:t>Poste</w:t>
            </w:r>
          </w:p>
        </w:tc>
        <w:tc>
          <w:tcPr>
            <w:tcW w:type="dxa" w:w="3311"/>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8"/>
              </w:rPr>
              <w:t>Montant annuel FCFA</w:t>
            </w:r>
          </w:p>
        </w:tc>
      </w:tr>
      <w:tr>
        <w:trPr>
          <w:cantSplit w:val="true"/>
        </w:trPr>
        <w:tc>
          <w:tcPr>
            <w:tcW w:type="dxa" w:w="662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Facture ENEO</w:t>
            </w:r>
          </w:p>
        </w:tc>
        <w:tc>
          <w:tcPr>
            <w:tcW w:type="dxa" w:w="331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74 734 992</w:t>
            </w:r>
          </w:p>
        </w:tc>
      </w:tr>
      <w:tr>
        <w:trPr>
          <w:cantSplit w:val="true"/>
        </w:trPr>
        <w:tc>
          <w:tcPr>
            <w:tcW w:type="dxa" w:w="6623"/>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Pertes de production</w:t>
            </w:r>
          </w:p>
        </w:tc>
        <w:tc>
          <w:tcPr>
            <w:tcW w:type="dxa" w:w="3311"/>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36 500 000</w:t>
            </w:r>
          </w:p>
        </w:tc>
      </w:tr>
      <w:tr>
        <w:trPr>
          <w:cantSplit w:val="true"/>
        </w:trPr>
        <w:tc>
          <w:tcPr>
            <w:tcW w:type="dxa" w:w="662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Consommation diesel</w:t>
            </w:r>
          </w:p>
        </w:tc>
        <w:tc>
          <w:tcPr>
            <w:tcW w:type="dxa" w:w="331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14 472 000</w:t>
            </w:r>
          </w:p>
        </w:tc>
      </w:tr>
      <w:tr>
        <w:trPr>
          <w:cantSplit w:val="true"/>
        </w:trPr>
        <w:tc>
          <w:tcPr>
            <w:tcW w:type="dxa" w:w="6623"/>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Dépassement de puissance</w:t>
            </w:r>
          </w:p>
        </w:tc>
        <w:tc>
          <w:tcPr>
            <w:tcW w:type="dxa" w:w="3311"/>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4 243 980</w:t>
            </w:r>
          </w:p>
        </w:tc>
      </w:tr>
      <w:tr>
        <w:trPr>
          <w:cantSplit w:val="true"/>
        </w:trPr>
        <w:tc>
          <w:tcPr>
            <w:tcW w:type="dxa" w:w="662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Maintenance groupe</w:t>
            </w:r>
          </w:p>
        </w:tc>
        <w:tc>
          <w:tcPr>
            <w:tcW w:type="dxa" w:w="331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1 104 000</w:t>
            </w:r>
          </w:p>
        </w:tc>
      </w:tr>
      <w:tr>
        <w:trPr>
          <w:cantSplit w:val="true"/>
        </w:trPr>
        <w:tc>
          <w:tcPr>
            <w:tcW w:type="dxa" w:w="6623"/>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Personnel immobilisé</w:t>
            </w:r>
          </w:p>
        </w:tc>
        <w:tc>
          <w:tcPr>
            <w:tcW w:type="dxa" w:w="3311"/>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790 833</w:t>
            </w:r>
          </w:p>
        </w:tc>
      </w:tr>
      <w:tr>
        <w:trPr>
          <w:cantSplit w:val="true"/>
        </w:trPr>
        <w:tc>
          <w:tcPr>
            <w:tcW w:type="dxa" w:w="662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8"/>
              </w:rPr>
              <w:t>Total</w:t>
            </w:r>
          </w:p>
        </w:tc>
        <w:tc>
          <w:tcPr>
            <w:tcW w:type="dxa" w:w="331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8"/>
              </w:rPr>
              <w:t>131 845 805</w:t>
            </w:r>
          </w:p>
        </w:tc>
      </w:tr>
    </w:tbl>
    <w:p>
      <w:pPr>
        <w:spacing w:after="40"/>
      </w:pPr>
    </w:p>
    <w:p>
      <w:pPr>
        <w:spacing w:after="120" w:line="269" w:lineRule="auto"/>
      </w:pPr>
      <w:r>
        <w:rPr>
          <w:rFonts w:ascii="Aptos" w:hAnsi="Aptos"/>
          <w:b w:val="0"/>
          <w:i w:val="0"/>
          <w:color w:val="202724"/>
          <w:sz w:val="21"/>
        </w:rPr>
        <w:t>Exemple de contrôle : 158 000 000 divisé par 35 600 000 donne environ 4,44 ans ; 261 000 000 divisé par 85 700 000 donne environ 3,05 ans ; 489 000 000 divisé par 130 500 000 donne environ 3,75 ans.</w:t>
      </w:r>
    </w:p>
    <w:p>
      <w:pPr>
        <w:pStyle w:val="Heading1"/>
        <w:keepNext/>
        <w:spacing w:before="280" w:after="100"/>
      </w:pPr>
      <w:r>
        <w:rPr>
          <w:rFonts w:ascii="Aptos" w:hAnsi="Aptos"/>
          <w:b/>
          <w:color w:val="000000"/>
          <w:sz w:val="32"/>
        </w:rPr>
        <w:t>Annexe B Références techniques</w:t>
      </w:r>
    </w:p>
    <w:tbl>
      <w:tblPr>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3024"/>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Référence</w:t>
            </w:r>
          </w:p>
        </w:tc>
        <w:tc>
          <w:tcPr>
            <w:tcW w:type="dxa" w:w="6912"/>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6"/>
              </w:rPr>
              <w:t>Adresse</w:t>
            </w:r>
          </w:p>
        </w:tc>
      </w:tr>
      <w:tr>
        <w:trPr>
          <w:cantSplit w:val="true"/>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Next.js App Router</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https://nextjs.org/docs</w:t>
            </w:r>
          </w:p>
        </w:tc>
      </w:tr>
      <w:tr>
        <w:trPr>
          <w:cantSplit w:val="true"/>
        </w:trPr>
        <w:tc>
          <w:tcPr>
            <w:tcW w:type="dxa" w:w="302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NestJS et BullMQ</w:t>
            </w:r>
          </w:p>
        </w:tc>
        <w:tc>
          <w:tcPr>
            <w:tcW w:type="dxa" w:w="691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https://docs.nestjs.com/techniques/queues</w:t>
            </w:r>
          </w:p>
        </w:tc>
      </w:tr>
      <w:tr>
        <w:trPr>
          <w:cantSplit w:val="true"/>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Playwright page.pdf</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https://playwright.dev/docs/api/class-page#page-pdf</w:t>
            </w:r>
          </w:p>
        </w:tc>
      </w:tr>
      <w:tr>
        <w:trPr>
          <w:cantSplit w:val="true"/>
        </w:trPr>
        <w:tc>
          <w:tcPr>
            <w:tcW w:type="dxa" w:w="302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PostgreSQL numeric</w:t>
            </w:r>
          </w:p>
        </w:tc>
        <w:tc>
          <w:tcPr>
            <w:tcW w:type="dxa" w:w="691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https://www.postgresql.org/docs/current/datatype-numeric.html</w:t>
            </w:r>
          </w:p>
        </w:tc>
      </w:tr>
      <w:tr>
        <w:trPr>
          <w:cantSplit w:val="true"/>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Amazon S3 URLs présignées</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https://docs.aws.amazon.com/AmazonS3/latest/userguide/ShareObjectPreSignedURL.html</w:t>
            </w:r>
          </w:p>
        </w:tc>
      </w:tr>
      <w:tr>
        <w:trPr>
          <w:cantSplit w:val="true"/>
        </w:trPr>
        <w:tc>
          <w:tcPr>
            <w:tcW w:type="dxa" w:w="302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Amazon Textract</w:t>
            </w:r>
          </w:p>
        </w:tc>
        <w:tc>
          <w:tcPr>
            <w:tcW w:type="dxa" w:w="691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https://docs.aws.amazon.com/textract/latest/dg/what-is.html</w:t>
            </w:r>
          </w:p>
        </w:tc>
      </w:tr>
      <w:tr>
        <w:trPr>
          <w:cantSplit w:val="true"/>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6"/>
              </w:rPr>
              <w:t>Zod</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6"/>
              </w:rPr>
              <w:t>https://zod.dev/</w:t>
            </w:r>
          </w:p>
        </w:tc>
      </w:tr>
    </w:tbl>
    <w:p>
      <w:pPr>
        <w:spacing w:after="40"/>
      </w:pPr>
    </w:p>
    <w:p>
      <w:pPr>
        <w:pStyle w:val="Heading1"/>
        <w:keepNext/>
        <w:spacing w:before="280" w:after="100"/>
      </w:pPr>
      <w:r>
        <w:rPr>
          <w:rFonts w:ascii="Aptos" w:hAnsi="Aptos"/>
          <w:b/>
          <w:color w:val="000000"/>
          <w:sz w:val="32"/>
        </w:rPr>
        <w:t>Annexe C Glossaire</w:t>
      </w:r>
    </w:p>
    <w:tbl>
      <w:tblPr>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1944"/>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Terme</w:t>
            </w:r>
          </w:p>
        </w:tc>
        <w:tc>
          <w:tcPr>
            <w:tcW w:type="dxa" w:w="7992"/>
            <w:shd w:fill="173D2B"/>
            <w:tcBorders>
              <w:top w:val="single" w:sz="6" w:color="D9D9D9"/>
              <w:left w:val="single" w:sz="6" w:color="D9D9D9"/>
              <w:bottom w:val="single" w:sz="6" w:color="D9D9D9"/>
              <w:right w:val="single" w:sz="6" w:color="D9D9D9"/>
              <w:insideH w:val="single" w:sz="6" w:color="D9D9D9"/>
              <w:insideV w:val="single" w:sz="6" w:color="D9D9D9"/>
            </w:tcBorders>
            <w:tcMar>
              <w:top w:w="125" w:type="dxa"/>
              <w:start w:w="120" w:type="dxa"/>
              <w:bottom w:w="125" w:type="dxa"/>
              <w:end w:w="120" w:type="dxa"/>
            </w:tcMar>
            <w:vAlign w:val="center"/>
          </w:tcPr>
          <w:p>
            <w:pPr>
              <w:spacing w:after="0"/>
              <w:jc w:val="center"/>
            </w:pPr>
            <w:r>
              <w:rPr>
                <w:rFonts w:ascii="Aptos" w:hAnsi="Aptos"/>
                <w:b/>
                <w:color w:val="FFFFFF"/>
                <w:sz w:val="17"/>
              </w:rPr>
              <w:t>Définition</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Baseline</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Coût annuel de référence avant mise en place d'une solution</w:t>
            </w:r>
          </w:p>
        </w:tc>
      </w:tr>
      <w:tr>
        <w:trPr>
          <w:cantSplit w:val="true"/>
        </w:trPr>
        <w:tc>
          <w:tcPr>
            <w:tcW w:type="dxa" w:w="194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Snapshot</w:t>
            </w:r>
          </w:p>
        </w:tc>
        <w:tc>
          <w:tcPr>
            <w:tcW w:type="dxa" w:w="799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Copie immuable des entrées, hypothèses et résultats utilisés pour une version</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Délai de retour</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Nombre d'années nécessaires pour récupérer l'investissement avec les économies annuelles</w:t>
            </w:r>
          </w:p>
        </w:tc>
      </w:tr>
      <w:tr>
        <w:trPr>
          <w:cantSplit w:val="true"/>
        </w:trPr>
        <w:tc>
          <w:tcPr>
            <w:tcW w:type="dxa" w:w="194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ROI</w:t>
            </w:r>
          </w:p>
        </w:tc>
        <w:tc>
          <w:tcPr>
            <w:tcW w:type="dxa" w:w="799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Ratio entre le gain net cumulé et l'investissement, généralement exprimé en pourcentage</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TCO</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Coût total de possession incluant investissement, exploitation, maintenance et remplacement</w:t>
            </w:r>
          </w:p>
        </w:tc>
      </w:tr>
      <w:tr>
        <w:trPr>
          <w:cantSplit w:val="true"/>
        </w:trPr>
        <w:tc>
          <w:tcPr>
            <w:tcW w:type="dxa" w:w="194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VAN</w:t>
            </w:r>
          </w:p>
        </w:tc>
        <w:tc>
          <w:tcPr>
            <w:tcW w:type="dxa" w:w="799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Valeur actualisée nette des flux futurs</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Provenance</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Origine d'une valeur : client, analyste, document, OCR, import ou calcul</w:t>
            </w:r>
          </w:p>
        </w:tc>
      </w:tr>
      <w:tr>
        <w:trPr>
          <w:cantSplit w:val="true"/>
        </w:trPr>
        <w:tc>
          <w:tcPr>
            <w:tcW w:type="dxa" w:w="1944"/>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ptos" w:hAnsi="Aptos"/>
                <w:b w:val="0"/>
                <w:color w:val="202724"/>
                <w:sz w:val="17"/>
              </w:rPr>
              <w:t>Idempotence</w:t>
            </w:r>
          </w:p>
        </w:tc>
        <w:tc>
          <w:tcPr>
            <w:tcW w:type="dxa" w:w="7992"/>
            <w:shd w:fill="F6F8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ptos" w:hAnsi="Aptos"/>
                <w:b w:val="0"/>
                <w:color w:val="202724"/>
                <w:sz w:val="17"/>
              </w:rPr>
              <w:t>Propriété permettant de rejouer une opération sans créer un résultat supplémentaire incohérent</w:t>
            </w:r>
          </w:p>
        </w:tc>
      </w:tr>
    </w:tbl>
    <w:p>
      <w:pPr>
        <w:spacing w:after="40"/>
      </w:pPr>
    </w:p>
    <w:sectPr w:rsidR="00FC693F" w:rsidRPr="0006063C" w:rsidSect="00034616">
      <w:headerReference w:type="default" r:id="rId9"/>
      <w:footerReference w:type="default" r:id="rId10"/>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5A6660"/>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val="0"/>
        <w:color w:val="5A6660"/>
        <w:sz w:val="16"/>
      </w:rPr>
      <w:t>Conception technique de la plateforme de diagnostic énergétique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7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technique de la plateforme de diagnostic énergétique</dc:title>
  <dc:subject>Collecte, calcul, scénarios et génération automatique du rapport BEG</dc:subject>
  <dc:creator>Idriss Duval</dc:creator>
  <cp:keywords>diagnostic énergétique, coûts cachés, ROI, rapport, architecture</cp:keywords>
  <dc:description>generated by python-docx</dc:description>
  <cp:lastModifiedBy/>
  <cp:revision>1</cp:revision>
  <dcterms:created xsi:type="dcterms:W3CDTF">2013-12-23T23:15:00Z</dcterms:created>
  <dcterms:modified xsi:type="dcterms:W3CDTF">2013-12-23T23:15:00Z</dcterms:modified>
  <cp:category/>
</cp:coreProperties>
</file>