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caps/>
          <w:color w:val="6b6b6b"/>
          <w:sz w:val="19"/>
          <w:szCs w:val="19"/>
        </w:rPr>
        <w:t xml:space="preserve">The STEER document set · 2 of 3</w:t>
      </w:r>
    </w:p>
    <w:p>
      <w:pPr>
        <w:pBdr>
          <w:bottom w:val="single" w:color="2f4bd0" w:sz="14" w:space="10"/>
        </w:pBdr>
        <w:spacing w:after="50"/>
      </w:pPr>
      <w:r>
        <w:rPr>
          <w:sz w:val="2"/>
          <w:szCs w:val="2"/>
        </w:rPr>
        <w:t xml:space="preserve"/>
      </w:r>
    </w:p>
    <w:p>
      <w:pPr>
        <w:pStyle w:val="Title"/>
        <w:spacing w:after="120" w:before="160"/>
      </w:pPr>
      <w:r>
        <w:rPr>
          <w:b/>
          <w:bCs/>
          <w:color w:val="000000"/>
          <w:sz w:val="52"/>
          <w:szCs w:val="52"/>
          <w:u w:val="none"/>
        </w:rPr>
        <w:t xml:space="preserve">STEER Framework</w:t>
      </w:r>
    </w:p>
    <w:p>
      <w:pPr>
        <w:spacing w:after="210"/>
      </w:pPr>
      <w:r>
        <w:rPr>
          <w:color w:val="2f4bd0"/>
          <w:sz w:val="26"/>
          <w:szCs w:val="26"/>
        </w:rPr>
        <w:t xml:space="preserve">What the structure is: the artifact chain, the plays, the gates, and the metrics</w:t>
      </w:r>
    </w:p>
    <w:p>
      <w:pPr>
        <w:spacing w:after="340"/>
      </w:pPr>
      <w:r>
        <w:rPr>
          <w:b/>
          <w:bCs/>
          <w:color w:val="1a1a1a"/>
          <w:sz w:val="21"/>
          <w:szCs w:val="21"/>
        </w:rPr>
        <w:t>Idriss Enayat</w:t>
      </w:r>
      <w:r>
        <w:rPr>
          <w:color w:val="6b6b6b"/>
          <w:sz w:val="20"/>
          <w:szCs w:val="20"/>
        </w:rPr>
        <w:t xml:space="preserve">   ·   Framework v3.2   ·   September 2026</w:t>
      </w:r>
    </w:p>
    <w:p>
      <w:pPr>
        <w:spacing w:after="160" w:line="274"/>
      </w:pPr>
      <w:r>
        <w:rPr>
          <w:color w:val="1a1a1a"/>
          <w:sz w:val="22"/>
          <w:szCs w:val="22"/>
        </w:rPr>
        <w:t>This document defines STEER's structure: the organization topology, the layers, the artifact chain that forms the lifecycle's backbone, the eight plays, the three gates, and the measurement system. The Methodology document states why; the Operating Model document defines who decides and how organizations run it.</w:t>
      </w:r>
    </w:p>
    <w:p>
      <w:pPr>
        <w:pStyle w:val="Heading1"/>
        <w:spacing w:after="60" w:before="340"/>
      </w:pPr>
      <w:r>
        <w:rPr>
          <w:b/>
          <w:bCs/>
          <w:color w:val="1a1a1a"/>
          <w:sz w:val="30"/>
          <w:szCs w:val="30"/>
        </w:rPr>
        <w:t xml:space="preserve">Three Layers</w:t>
      </w:r>
    </w:p>
    <w:p>
      <w:pPr>
        <w:pBdr>
          <w:bottom w:val="single" w:color="2f4bd0" w:sz="8" w:space="4"/>
        </w:pBdr>
        <w:spacing w:after="200"/>
      </w:pPr>
      <w:r>
        <w:rPr>
          <w:sz w:val="2"/>
          <w:szCs w:val="2"/>
        </w:rPr>
        <w:t xml:space="preserve"/>
      </w:r>
    </w:p>
    <w:p>
      <w:pPr>
        <w:spacing w:after="160" w:line="274"/>
      </w:pPr>
      <w:r>
        <w:rPr>
          <w:color w:val="1a1a1a"/>
          <w:sz w:val="22"/>
          <w:szCs w:val="22"/>
        </w:rPr>
        <w:t xml:space="preserve">The framework layer holds principles, accountabilities, gates, and metrics, and changes rarely. The lifecycle layer holds the eight plays across seven operational states, and is the daily rhythm. The platform layer holds agents, evidence, automation, and telemetry as bindings behind seams, so any tool swaps like a feature rather than a migration. Written artifacts are the interface between all three: the entire process ships as files in a repository, versioned like code.</w:t>
      </w:r>
    </w:p>
    <w:p>
      <w:pPr>
        <w:spacing w:after="55" w:before="110"/>
        <w:jc w:val="center"/>
      </w:pPr>
      <w:r>
        <w:drawing>
          <wp:inline distT="0" distB="0" distL="0" distR="0">
            <wp:extent cx="4848225" cy="1828800"/>
            <wp:effectExtent t="0" r="0" b="0" l="0"/>
            <wp:docPr id="1" name="Figure 1" descr="Three STEER layers: framework, lifecycle, and platform, with different rates of chan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48225" cy="1828800"/>
                    </a:xfrm>
                    <a:prstGeom prst="rect">
                      <a:avLst/>
                    </a:prstGeom>
                  </pic:spPr>
                </pic:pic>
              </a:graphicData>
            </a:graphic>
          </wp:inline>
        </w:drawing>
      </w:r>
    </w:p>
    <w:p>
      <w:pPr>
        <w:spacing w:after="195"/>
        <w:jc w:val="center"/>
      </w:pPr>
      <w:r>
        <w:rPr>
          <w:i/>
          <w:iCs/>
          <w:color w:val="6b6b6b"/>
          <w:sz w:val="18"/>
          <w:szCs w:val="18"/>
        </w:rPr>
        <w:t xml:space="preserve">Three layers: the framework changes rarely; the platform swaps like a feature.</w:t>
      </w:r>
    </w:p>
    <w:p>
      <w:pPr>
        <w:pStyle w:val="Heading1"/>
        <w:spacing w:after="60" w:before="340"/>
      </w:pPr>
      <w:r>
        <w:rPr>
          <w:b/>
          <w:bCs/>
          <w:color w:val="1a1a1a"/>
          <w:sz w:val="30"/>
          <w:szCs w:val="30"/>
        </w:rPr>
        <w:t>Organization Structure</w:t>
      </w:r>
    </w:p>
    <w:p>
      <w:pPr>
        <w:pBdr>
          <w:bottom w:val="single" w:color="2f4bd0" w:sz="8" w:space="4"/>
        </w:pBdr>
        <w:spacing w:after="200"/>
      </w:pPr>
      <w:r>
        <w:rPr>
          <w:sz w:val="2"/>
          <w:szCs w:val="2"/>
        </w:rPr>
      </w:r>
    </w:p>
    <w:p>
      <w:pPr>
        <w:spacing w:after="160" w:line="274"/>
      </w:pPr>
      <w:r>
        <w:t>STEER projects a versioned organization → portfolio → product → pod topology, with an organization-level domain-assurance pool of independent agents and human exception owners. The operating repository declares governance and inheritance; each product names one home repository for item chains. Org Admins manage tenant identities, agents, keys, budgets, and defaults; Portfolio Leads sign mission briefs; Product Stewards exist when multiple pods share a product; the four pod accountabilities run the loop.</w:t>
      </w:r>
    </w:p>
    <w:p>
      <w:pPr>
        <w:spacing w:after="160" w:line="274"/>
      </w:pPr>
      <w:r>
        <w:t>People and agents are identities assigned to explicit hats. One person may hold every core accountable hat; a human specialist hat appears only for a triggered exception and only when the person is qualified. Capacity rolls up per human across pods and hats, while tenant boundaries isolate memory, keys, sandboxes, and evidence. Stack Packs make product stack choices operational, and readiness scans turn brownfield gaps into on-ramp briefs.</w:t>
      </w:r>
    </w:p>
    <w:p>
      <w:pPr>
        <w:pBdr>
          <w:bottom w:val="single" w:color="2f4bd0" w:sz="8" w:space="4"/>
        </w:pBdr>
        <w:spacing w:after="200"/>
      </w:pPr>
      <w:r>
        <w:rPr>
          <w:sz w:val="2"/>
          <w:szCs w:val="2"/>
        </w:rPr>
      </w:r>
    </w:p>
    <w:p>
      <w:pPr>
        <w:pStyle w:val="Heading1"/>
        <w:spacing w:after="60" w:before="340"/>
      </w:pPr>
      <w:r>
        <w:rPr>
          <w:b/>
          <w:bCs/>
          <w:color w:val="1a1a1a"/>
          <w:sz w:val="30"/>
          <w:szCs w:val="30"/>
        </w:rPr>
        <w:t xml:space="preserve">The Artifact Chain</w:t>
      </w:r>
    </w:p>
    <w:p>
      <w:pPr>
        <w:pBdr>
          <w:bottom w:val="single" w:color="2f4bd0" w:sz="8" w:space="4"/>
        </w:pBdr>
        <w:spacing w:after="200"/>
      </w:pPr>
      <w:r>
        <w:rPr>
          <w:sz w:val="2"/>
          <w:szCs w:val="2"/>
        </w:rPr>
        <w:t xml:space="preserve"/>
      </w:r>
    </w:p>
    <w:p>
      <w:pPr>
        <w:spacing w:after="160" w:line="274"/>
      </w:pPr>
      <w:r>
        <w:rPr>
          <w:color w:val="1a1a1a"/>
          <w:sz w:val="22"/>
          <w:szCs w:val="22"/>
        </w:rPr>
        <w:t xml:space="preserve">Every play ends by committing an artifact to version control, and the next play begins by reading it. The chain is the audit trail: who asked for what, what the agents produced, what the evidence showed, and who approved it.</w:t>
      </w:r>
    </w:p>
    <w:p>
      <w:pPr>
        <w:pBdr>
          <w:left w:val="single" w:color="2f4bd0" w:sz="20" w:space="14"/>
        </w:pBdr>
        <w:spacing w:after="205" w:before="125"/>
        <w:ind w:left="470" w:right="240"/>
      </w:pPr>
      <w:r>
        <w:rPr>
          <w:i/>
          <w:iCs/>
          <w:color w:val="2a2a2a"/>
          <w:sz w:val="24"/>
          <w:szCs w:val="24"/>
        </w:rPr>
        <w:t xml:space="preserve">BRIEF → SPEC → EXAM → PLAN → diff + evidence → review findings + signatures → release record → band log → learning decision → next BRIEF</w:t>
      </w:r>
    </w:p>
    <w:p>
      <w:pPr>
        <w:spacing w:after="160" w:line="274"/>
      </w:pPr>
      <w:r>
        <w:rPr>
          <w:color w:val="1a1a1a"/>
          <w:sz w:val="22"/>
          <w:szCs w:val="22"/>
        </w:rPr>
        <w:t xml:space="preserve">The brief states intent, its measurable outcome contract, and the risk domains it touches (it is a superset of emerging intent-file conventions, so STEER interoperates with intent-driven toolchains). The spec is the design pass. The exam, STEER's addition to the industry chain, is the binding definition of provably done: acceptance tests, evals, and guardrails, authored independently of the builders. The plan is the implementation route an agent proposes in a read-only pass. Then the diff with its evidence, the review findings with their signatures, the release record, the production band log, and the versioned learning decision complete the turn. A breached control band writes the next brief, so the loop can start itself.</w:t>
      </w:r>
    </w:p>
    <w:p>
      <w:pPr>
        <w:spacing w:after="55" w:before="110"/>
        <w:jc w:val="center"/>
      </w:pPr>
      <w:r>
        <w:drawing>
          <wp:inline distT="0" distB="0" distL="0" distR="0">
            <wp:extent cx="5848350" cy="1638300"/>
            <wp:effectExtent t="0" r="0" b="0" l="0"/>
            <wp:docPr id="1" name="Figure 2" descr="Eight-play STEER artifact chain from Sense through Learn, with human gates after intent, exam, and evalu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638300"/>
                    </a:xfrm>
                    <a:prstGeom prst="rect">
                      <a:avLst/>
                    </a:prstGeom>
                  </pic:spPr>
                </pic:pic>
              </a:graphicData>
            </a:graphic>
          </wp:inline>
        </w:drawing>
      </w:r>
    </w:p>
    <w:p>
      <w:pPr>
        <w:spacing w:after="195"/>
        <w:jc w:val="center"/>
      </w:pPr>
      <w:r>
        <w:rPr>
          <w:i/>
          <w:iCs/>
          <w:color w:val="6b6b6b"/>
          <w:sz w:val="18"/>
          <w:szCs w:val="18"/>
        </w:rPr>
        <w:t xml:space="preserve">The Flight Board: eight plays, seven states, three gates on the chain.</w:t>
      </w:r>
    </w:p>
    <w:p>
      <w:pPr>
        <w:pStyle w:val="Heading1"/>
        <w:spacing w:after="60" w:before="340"/>
      </w:pPr>
      <w:r>
        <w:rPr>
          <w:b/>
          <w:bCs/>
          <w:color w:val="1a1a1a"/>
          <w:sz w:val="30"/>
          <w:szCs w:val="30"/>
        </w:rPr>
        <w:t xml:space="preserve">The Three Surfaces</w:t>
      </w:r>
    </w:p>
    <w:p>
      <w:pPr>
        <w:spacing w:after="160" w:line="274"/>
      </w:pPr>
      <w:r>
        <w:rPr>
          <w:color w:val="1a1a1a"/>
          <w:sz w:val="22"/>
          <w:szCs w:val="22"/>
        </w:rPr>
        <w:t>An intent is a candidate brief in the intent backlog. It becomes a work item only when the Product Lead pulls it into flight against the visible WIP limit for the responsible human across every pod and hat they hold. This boundary absorbs machine-speed supply without allowing it to flood human-speed judgment.</w:t>
      </w:r>
    </w:p>
    <w:p>
      <w:pPr>
        <w:spacing w:after="160" w:line="274"/>
      </w:pPr>
      <w:r>
        <w:rPr>
          <w:color w:val="1a1a1a"/>
          <w:sz w:val="22"/>
          <w:szCs w:val="22"/>
        </w:rPr>
        <w:t>Every role home preserves the same attention order: the decision inbox for what needs judgment now, triggered candidates for what could enter next, and an ambient in-motion pane watched by aging bands. The platform projects these surfaces from the chain; it cannot invent private business status; D1 separately governs draft and execution records. See STEER Practice Note 3, The Three Surfaces.</w:t>
      </w:r>
    </w:p>
    <w:p>
      <w:pPr>
        <w:pStyle w:val="Heading1"/>
        <w:keepNext/>
        <w:spacing w:before="280" w:after="140"/>
      </w:pPr>
      <w:r>
        <w:rPr>
          <w:b/>
          <w:color w:val="000000"/>
          <w:sz w:val="30"/>
        </w:rPr>
        <w:t>Private drafts and published artifacts</w:t>
      </w:r>
    </w:p>
    <w:p>
      <w:pPr>
        <w:pStyle w:val="Normal"/>
        <w:widowControl/>
        <w:spacing w:after="140" w:line="259" w:lineRule="auto"/>
      </w:pPr>
      <w:r>
        <w:rPr>
          <w:rFonts w:ascii="Calibri" w:hAnsi="Calibri"/>
          <w:color w:val="000000"/>
          <w:sz w:val="21"/>
        </w:rPr>
        <w:t>Under the accepted D1 amendment, an organization with a verified storage binding may preserve encrypted private intent drafts and generation checkpoints in Postgres before publishing candidate documents. Preservation acknowledges an exact recoverable revision; publication commits only human-confirmed documents to Git. Neither action pulls work or supplies a gate signature. Git remains canonical business authority, while operational records and rebuildable projections have distinct recovery paths.</w:t>
      </w:r>
    </w:p>
    <w:p>
      <w:pPr>
        <w:pStyle w:val="Normal"/>
        <w:widowControl/>
        <w:spacing w:after="140" w:line="259" w:lineRule="auto"/>
      </w:pPr>
      <w:r>
        <w:rPr>
          <w:rFonts w:ascii="Calibri" w:hAnsi="Calibri"/>
          <w:color w:val="000000"/>
          <w:sz w:val="21"/>
        </w:rPr>
        <w:t>Private drafts expire at the earliest of original creation plus seven days, verified publication plus 60 seconds, or discard plus 60 seconds; edits and reauthentication do not renew retention. Content-free operation and model-accounting records follow D1's one-year post-terminal/reconciliation rules, retaining unknown outcomes. Current owner/tenant/product grants, per-draft keys, expiry/hold controls and all-copy recovery verification remain prerequisites. The Operating Model gives the complete schedule and activation conditions. The accepted source is D1 revision 1 at commit 9442b2d212b2c47c436cbe527dd07707b3c8174c; the historical signed architecture and Exam remain unchanged.</w:t>
      </w:r>
    </w:p>
    <w:p>
      <w:pPr>
        <w:pStyle w:val="Heading1"/>
        <w:spacing w:after="60" w:before="340"/>
      </w:pPr>
      <w:r>
        <w:rPr>
          <w:b/>
          <w:bCs/>
          <w:color w:val="1a1a1a"/>
          <w:sz w:val="30"/>
          <w:szCs w:val="30"/>
        </w:rPr>
        <w:t xml:space="preserve">The Eight Plays</w:t>
      </w:r>
    </w:p>
    <w:p>
      <w:pPr>
        <w:pBdr>
          <w:bottom w:val="single" w:color="2f4bd0" w:sz="8" w:space="4"/>
        </w:pBdr>
        <w:spacing w:after="200"/>
      </w:pPr>
      <w:r>
        <w:rPr>
          <w:sz w:val="2"/>
          <w:szCs w:val="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50"/>
        <w:gridCol w:w="2450"/>
        <w:gridCol w:w="2900"/>
        <w:gridCol w:w="2560"/>
      </w:tblGrid>
      <w:tr>
        <w:trPr>
          <w:tblHeader w:val="true"/>
        </w:trPr>
        <w:tc>
          <w:tcPr>
            <w:tcW w:type="dxa" w:w="1650"/>
            <w:shd w:fill="e8e8e0" w:val="clear"/>
            <w:tcMar>
              <w:top w:type="dxa" w:w="85"/>
              <w:left w:type="dxa" w:w="115"/>
              <w:bottom w:type="dxa" w:w="85"/>
              <w:right w:type="dxa" w:w="115"/>
            </w:tcMar>
          </w:tcPr>
          <w:p>
            <w:pPr>
              <w:spacing w:after="0" w:line="246"/>
            </w:pPr>
            <w:r>
              <w:rPr>
                <w:b/>
                <w:bCs/>
                <w:color w:val="1a1a1a"/>
                <w:sz w:val="19"/>
                <w:szCs w:val="19"/>
              </w:rPr>
              <w:t xml:space="preserve">Play</w:t>
            </w:r>
          </w:p>
        </w:tc>
        <w:tc>
          <w:tcPr>
            <w:tcW w:type="dxa" w:w="2450"/>
            <w:shd w:fill="e8e8e0" w:val="clear"/>
            <w:tcMar>
              <w:top w:type="dxa" w:w="85"/>
              <w:left w:type="dxa" w:w="115"/>
              <w:bottom w:type="dxa" w:w="85"/>
              <w:right w:type="dxa" w:w="115"/>
            </w:tcMar>
          </w:tcPr>
          <w:p>
            <w:pPr>
              <w:spacing w:after="0" w:line="246"/>
            </w:pPr>
            <w:r>
              <w:rPr>
                <w:b/>
                <w:bCs/>
                <w:color w:val="1a1a1a"/>
                <w:sz w:val="19"/>
                <w:szCs w:val="19"/>
              </w:rPr>
              <w:t xml:space="preserve">Commits</w:t>
            </w:r>
          </w:p>
        </w:tc>
        <w:tc>
          <w:tcPr>
            <w:tcW w:type="dxa" w:w="2900"/>
            <w:shd w:fill="e8e8e0" w:val="clear"/>
            <w:tcMar>
              <w:top w:type="dxa" w:w="85"/>
              <w:left w:type="dxa" w:w="115"/>
              <w:bottom w:type="dxa" w:w="85"/>
              <w:right w:type="dxa" w:w="115"/>
            </w:tcMar>
          </w:tcPr>
          <w:p>
            <w:pPr>
              <w:spacing w:after="0" w:line="246"/>
            </w:pPr>
            <w:r>
              <w:rPr>
                <w:b/>
                <w:bCs/>
                <w:color w:val="1a1a1a"/>
                <w:sz w:val="19"/>
                <w:szCs w:val="19"/>
              </w:rPr>
              <w:t xml:space="preserve">What happens</w:t>
            </w:r>
          </w:p>
        </w:tc>
        <w:tc>
          <w:tcPr>
            <w:tcW w:type="dxa" w:w="2560"/>
            <w:shd w:fill="e8e8e0" w:val="clear"/>
            <w:tcMar>
              <w:top w:type="dxa" w:w="85"/>
              <w:left w:type="dxa" w:w="115"/>
              <w:bottom w:type="dxa" w:w="85"/>
              <w:right w:type="dxa" w:w="115"/>
            </w:tcMar>
          </w:tcPr>
          <w:p>
            <w:pPr>
              <w:spacing w:after="0" w:line="246"/>
            </w:pPr>
            <w:r>
              <w:rPr>
                <w:b/>
                <w:bCs/>
                <w:color w:val="1a1a1a"/>
                <w:sz w:val="19"/>
                <w:szCs w:val="19"/>
              </w:rPr>
              <w:t xml:space="preserve">Measure (leading · lagging)</w:t>
            </w:r>
          </w:p>
        </w:tc>
      </w:tr>
      <w:tr>
        <w:tc>
          <w:tcPr>
            <w:tcW w:type="dxa" w:w="1650"/>
            <w:shd w:fill="f7f7f2" w:val="clear"/>
            <w:tcMar>
              <w:top w:type="dxa" w:w="85"/>
              <w:left w:type="dxa" w:w="115"/>
              <w:bottom w:type="dxa" w:w="85"/>
              <w:right w:type="dxa" w:w="115"/>
            </w:tcMar>
          </w:tcPr>
          <w:p>
            <w:pPr>
              <w:spacing w:after="0" w:line="246"/>
            </w:pPr>
            <w:r>
              <w:rPr>
                <w:b w:val="false"/>
                <w:bCs w:val="false"/>
                <w:color w:val="1a1a1a"/>
                <w:sz w:val="19"/>
                <w:szCs w:val="19"/>
              </w:rPr>
              <w:t xml:space="preserve">01 Sense</w:t>
            </w:r>
          </w:p>
        </w:tc>
        <w:tc>
          <w:tcPr>
            <w:tcW w:type="dxa" w:w="2450"/>
            <w:shd w:fill="f7f7f2" w:val="clear"/>
            <w:tcMar>
              <w:top w:type="dxa" w:w="85"/>
              <w:left w:type="dxa" w:w="115"/>
              <w:bottom w:type="dxa" w:w="85"/>
              <w:right w:type="dxa" w:w="115"/>
            </w:tcMar>
          </w:tcPr>
          <w:p>
            <w:pPr>
              <w:spacing w:after="0" w:line="246"/>
            </w:pPr>
            <w:r>
              <w:rPr>
                <w:b w:val="false"/>
                <w:bCs w:val="false"/>
                <w:color w:val="1a1a1a"/>
                <w:sz w:val="19"/>
                <w:szCs w:val="19"/>
              </w:rPr>
              <w:t xml:space="preserve">draft BRIEF</w:t>
            </w:r>
          </w:p>
        </w:tc>
        <w:tc>
          <w:tcPr>
            <w:tcW w:type="dxa" w:w="2900"/>
            <w:shd w:fill="f7f7f2" w:val="clear"/>
            <w:tcMar>
              <w:top w:type="dxa" w:w="85"/>
              <w:left w:type="dxa" w:w="115"/>
              <w:bottom w:type="dxa" w:w="85"/>
              <w:right w:type="dxa" w:w="115"/>
            </w:tcMar>
          </w:tcPr>
          <w:p>
            <w:pPr>
              <w:spacing w:after="0" w:line="246"/>
            </w:pPr>
            <w:r>
              <w:rPr>
                <w:b w:val="false"/>
                <w:bCs w:val="false"/>
                <w:color w:val="1a1a1a"/>
                <w:sz w:val="19"/>
                <w:szCs w:val="19"/>
              </w:rPr>
              <w:t>Signals, tickets, and band breaches become draft briefs; the Product Lead pulls work into flight deliberately (WIP is personal framing capacity across pods and hats)</w:t>
            </w:r>
          </w:p>
        </w:tc>
        <w:tc>
          <w:tcPr>
            <w:tcW w:type="dxa" w:w="2560"/>
            <w:shd w:fill="f7f7f2" w:val="clear"/>
            <w:tcMar>
              <w:top w:type="dxa" w:w="85"/>
              <w:left w:type="dxa" w:w="115"/>
              <w:bottom w:type="dxa" w:w="85"/>
              <w:right w:type="dxa" w:w="115"/>
            </w:tcMar>
          </w:tcPr>
          <w:p>
            <w:pPr>
              <w:spacing w:after="0" w:line="246"/>
            </w:pPr>
            <w:r>
              <w:rPr>
                <w:b w:val="false"/>
                <w:bCs w:val="false"/>
                <w:color w:val="1a1a1a"/>
                <w:sz w:val="19"/>
                <w:szCs w:val="19"/>
              </w:rPr>
              <w:t xml:space="preserve">signal-to-brief time · brief survival rate</w:t>
            </w:r>
          </w:p>
        </w:tc>
      </w:tr>
      <w:tr>
        <w:tc>
          <w:tcPr>
            <w:tcW w:type="dxa" w:w="1650"/>
            <w:tcMar>
              <w:top w:type="dxa" w:w="85"/>
              <w:left w:type="dxa" w:w="115"/>
              <w:bottom w:type="dxa" w:w="85"/>
              <w:right w:type="dxa" w:w="115"/>
            </w:tcMar>
          </w:tcPr>
          <w:p>
            <w:pPr>
              <w:spacing w:after="0" w:line="246"/>
            </w:pPr>
            <w:r>
              <w:rPr>
                <w:b w:val="false"/>
                <w:bCs w:val="false"/>
                <w:color w:val="1a1a1a"/>
                <w:sz w:val="19"/>
                <w:szCs w:val="19"/>
              </w:rPr>
              <w:t xml:space="preserve">02 Frame · Intent</w:t>
            </w:r>
          </w:p>
        </w:tc>
        <w:tc>
          <w:tcPr>
            <w:tcW w:type="dxa" w:w="2450"/>
            <w:tcMar>
              <w:top w:type="dxa" w:w="85"/>
              <w:left w:type="dxa" w:w="115"/>
              <w:bottom w:type="dxa" w:w="85"/>
              <w:right w:type="dxa" w:w="115"/>
            </w:tcMar>
          </w:tcPr>
          <w:p>
            <w:pPr>
              <w:spacing w:after="0" w:line="246"/>
            </w:pPr>
            <w:r>
              <w:rPr>
                <w:b w:val="false"/>
                <w:bCs w:val="false"/>
                <w:color w:val="1a1a1a"/>
                <w:sz w:val="19"/>
                <w:szCs w:val="19"/>
              </w:rPr>
              <w:t xml:space="preserve">BRIEF + SPEC, Gate 1</w:t>
            </w:r>
          </w:p>
        </w:tc>
        <w:tc>
          <w:tcPr>
            <w:tcW w:type="dxa" w:w="2900"/>
            <w:tcMar>
              <w:top w:type="dxa" w:w="85"/>
              <w:left w:type="dxa" w:w="115"/>
              <w:bottom w:type="dxa" w:w="85"/>
              <w:right w:type="dxa" w:w="115"/>
            </w:tcMar>
          </w:tcPr>
          <w:p>
            <w:pPr>
              <w:spacing w:after="0" w:line="246"/>
            </w:pPr>
            <w:r>
              <w:rPr>
                <w:b w:val="false"/>
                <w:bCs w:val="false"/>
                <w:color w:val="1a1a1a"/>
                <w:sz w:val="19"/>
                <w:szCs w:val="19"/>
              </w:rPr>
              <w:t xml:space="preserve">Intent accepted with a measurable outcome contract and domain tags; design pass with concerns flagged to policy owners</w:t>
            </w:r>
          </w:p>
        </w:tc>
        <w:tc>
          <w:tcPr>
            <w:tcW w:type="dxa" w:w="2560"/>
            <w:tcMar>
              <w:top w:type="dxa" w:w="85"/>
              <w:left w:type="dxa" w:w="115"/>
              <w:bottom w:type="dxa" w:w="85"/>
              <w:right w:type="dxa" w:w="115"/>
            </w:tcMar>
          </w:tcPr>
          <w:p>
            <w:pPr>
              <w:spacing w:after="0" w:line="246"/>
            </w:pPr>
            <w:r>
              <w:rPr>
                <w:b w:val="false"/>
                <w:bCs w:val="false"/>
                <w:color w:val="1a1a1a"/>
                <w:sz w:val="19"/>
                <w:szCs w:val="19"/>
              </w:rPr>
              <w:t xml:space="preserve">draft-to-accepted time · rework after build starts</w:t>
            </w:r>
          </w:p>
        </w:tc>
      </w:tr>
      <w:tr>
        <w:tc>
          <w:tcPr>
            <w:tcW w:type="dxa" w:w="1650"/>
            <w:shd w:fill="f7f7f2" w:val="clear"/>
            <w:tcMar>
              <w:top w:type="dxa" w:w="85"/>
              <w:left w:type="dxa" w:w="115"/>
              <w:bottom w:type="dxa" w:w="85"/>
              <w:right w:type="dxa" w:w="115"/>
            </w:tcMar>
          </w:tcPr>
          <w:p>
            <w:pPr>
              <w:spacing w:after="0" w:line="246"/>
            </w:pPr>
            <w:r>
              <w:rPr>
                <w:b w:val="false"/>
                <w:bCs w:val="false"/>
                <w:color w:val="1a1a1a"/>
                <w:sz w:val="19"/>
                <w:szCs w:val="19"/>
              </w:rPr>
              <w:t xml:space="preserve">03 Frame · Exam</w:t>
            </w:r>
          </w:p>
        </w:tc>
        <w:tc>
          <w:tcPr>
            <w:tcW w:type="dxa" w:w="2450"/>
            <w:shd w:fill="f7f7f2" w:val="clear"/>
            <w:tcMar>
              <w:top w:type="dxa" w:w="85"/>
              <w:left w:type="dxa" w:w="115"/>
              <w:bottom w:type="dxa" w:w="85"/>
              <w:right w:type="dxa" w:w="115"/>
            </w:tcMar>
          </w:tcPr>
          <w:p>
            <w:pPr>
              <w:spacing w:after="0" w:line="246"/>
            </w:pPr>
            <w:r>
              <w:rPr>
                <w:b w:val="false"/>
                <w:bCs w:val="false"/>
                <w:color w:val="1a1a1a"/>
                <w:sz w:val="19"/>
                <w:szCs w:val="19"/>
              </w:rPr>
              <w:t xml:space="preserve">EXAM, Gate 2</w:t>
            </w:r>
          </w:p>
        </w:tc>
        <w:tc>
          <w:tcPr>
            <w:tcW w:type="dxa" w:w="2900"/>
            <w:shd w:fill="f7f7f2" w:val="clear"/>
            <w:tcMar>
              <w:top w:type="dxa" w:w="85"/>
              <w:left w:type="dxa" w:w="115"/>
              <w:bottom w:type="dxa" w:w="85"/>
              <w:right w:type="dxa" w:w="115"/>
            </w:tcMar>
          </w:tcPr>
          <w:p>
            <w:r>
              <w:t>Test agent drafts the exam; independent domain agents review activated risks; a fresh-context critic attacks the whole; the Tech Lead receives one exception brief; builders can never edit it</w:t>
            </w:r>
          </w:p>
        </w:tc>
        <w:tc>
          <w:tcPr>
            <w:tcW w:type="dxa" w:w="2560"/>
            <w:shd w:fill="f7f7f2" w:val="clear"/>
            <w:tcMar>
              <w:top w:type="dxa" w:w="85"/>
              <w:left w:type="dxa" w:w="115"/>
              <w:bottom w:type="dxa" w:w="85"/>
              <w:right w:type="dxa" w:w="115"/>
            </w:tcMar>
          </w:tcPr>
          <w:p>
            <w:pPr>
              <w:spacing w:after="0" w:line="246"/>
            </w:pPr>
            <w:r>
              <w:rPr>
                <w:b w:val="false"/>
                <w:bCs w:val="false"/>
                <w:color w:val="1a1a1a"/>
                <w:sz w:val="19"/>
                <w:szCs w:val="19"/>
              </w:rPr>
              <w:t xml:space="preserve">spec-to-exam time · escaped defects per item</w:t>
            </w:r>
          </w:p>
        </w:tc>
      </w:tr>
      <w:tr>
        <w:tc>
          <w:tcPr>
            <w:tcW w:type="dxa" w:w="1650"/>
            <w:tcMar>
              <w:top w:type="dxa" w:w="85"/>
              <w:left w:type="dxa" w:w="115"/>
              <w:bottom w:type="dxa" w:w="85"/>
              <w:right w:type="dxa" w:w="115"/>
            </w:tcMar>
          </w:tcPr>
          <w:p>
            <w:pPr>
              <w:spacing w:after="0" w:line="246"/>
            </w:pPr>
            <w:r>
              <w:rPr>
                <w:b w:val="false"/>
                <w:bCs w:val="false"/>
                <w:color w:val="1a1a1a"/>
                <w:sz w:val="19"/>
                <w:szCs w:val="19"/>
              </w:rPr>
              <w:t xml:space="preserve">04 Engineer</w:t>
            </w:r>
          </w:p>
        </w:tc>
        <w:tc>
          <w:tcPr>
            <w:tcW w:type="dxa" w:w="2450"/>
            <w:tcMar>
              <w:top w:type="dxa" w:w="85"/>
              <w:left w:type="dxa" w:w="115"/>
              <w:bottom w:type="dxa" w:w="85"/>
              <w:right w:type="dxa" w:w="115"/>
            </w:tcMar>
          </w:tcPr>
          <w:p>
            <w:pPr>
              <w:spacing w:after="0" w:line="246"/>
            </w:pPr>
            <w:r>
              <w:rPr>
                <w:b w:val="false"/>
                <w:bCs w:val="false"/>
                <w:color w:val="1a1a1a"/>
                <w:sz w:val="19"/>
                <w:szCs w:val="19"/>
              </w:rPr>
              <w:t xml:space="preserve">PLAN, then diff + evidence</w:t>
            </w:r>
          </w:p>
        </w:tc>
        <w:tc>
          <w:tcPr>
            <w:tcW w:type="dxa" w:w="2900"/>
            <w:tcMar>
              <w:top w:type="dxa" w:w="85"/>
              <w:left w:type="dxa" w:w="115"/>
              <w:bottom w:type="dxa" w:w="85"/>
              <w:right w:type="dxa" w:w="115"/>
            </w:tcMar>
          </w:tcPr>
          <w:p>
            <w:pPr>
              <w:spacing w:after="0" w:line="246"/>
            </w:pPr>
            <w:r>
              <w:rPr>
                <w:b w:val="false"/>
                <w:bCs w:val="false"/>
                <w:color w:val="1a1a1a"/>
                <w:sz w:val="19"/>
                <w:szCs w:val="19"/>
              </w:rPr>
              <w:t xml:space="preserve">Read-only planning pass, then builders implement in isolation; every claim ships with its proof; sessions verify their own work</w:t>
            </w:r>
          </w:p>
        </w:tc>
        <w:tc>
          <w:tcPr>
            <w:tcW w:type="dxa" w:w="2560"/>
            <w:tcMar>
              <w:top w:type="dxa" w:w="85"/>
              <w:left w:type="dxa" w:w="115"/>
              <w:bottom w:type="dxa" w:w="85"/>
              <w:right w:type="dxa" w:w="115"/>
            </w:tcMar>
          </w:tcPr>
          <w:p>
            <w:pPr>
              <w:spacing w:after="0" w:line="246"/>
            </w:pPr>
            <w:r>
              <w:rPr>
                <w:b w:val="false"/>
                <w:bCs w:val="false"/>
                <w:color w:val="1a1a1a"/>
                <w:sz w:val="19"/>
                <w:szCs w:val="19"/>
              </w:rPr>
              <w:t xml:space="preserve">first-pass rate · rework cycles</w:t>
            </w:r>
          </w:p>
        </w:tc>
      </w:tr>
      <w:tr>
        <w:tc>
          <w:tcPr>
            <w:tcW w:type="dxa" w:w="1650"/>
            <w:shd w:fill="f7f7f2" w:val="clear"/>
            <w:tcMar>
              <w:top w:type="dxa" w:w="85"/>
              <w:left w:type="dxa" w:w="115"/>
              <w:bottom w:type="dxa" w:w="85"/>
              <w:right w:type="dxa" w:w="115"/>
            </w:tcMar>
          </w:tcPr>
          <w:p>
            <w:pPr>
              <w:spacing w:after="0" w:line="246"/>
            </w:pPr>
            <w:r>
              <w:rPr>
                <w:b w:val="false"/>
                <w:bCs w:val="false"/>
                <w:color w:val="1a1a1a"/>
                <w:sz w:val="19"/>
                <w:szCs w:val="19"/>
              </w:rPr>
              <w:t xml:space="preserve">05 Evaluate</w:t>
            </w:r>
          </w:p>
        </w:tc>
        <w:tc>
          <w:tcPr>
            <w:tcW w:type="dxa" w:w="2450"/>
            <w:shd w:fill="f7f7f2" w:val="clear"/>
            <w:tcMar>
              <w:top w:type="dxa" w:w="85"/>
              <w:left w:type="dxa" w:w="115"/>
              <w:bottom w:type="dxa" w:w="85"/>
              <w:right w:type="dxa" w:w="115"/>
            </w:tcMar>
          </w:tcPr>
          <w:p>
            <w:pPr>
              <w:spacing w:after="0" w:line="246"/>
            </w:pPr>
            <w:r>
              <w:rPr>
                <w:b w:val="false"/>
                <w:bCs w:val="false"/>
                <w:color w:val="1a1a1a"/>
                <w:sz w:val="19"/>
                <w:szCs w:val="19"/>
              </w:rPr>
              <w:t xml:space="preserve">PR + findings, Gate 3</w:t>
            </w:r>
          </w:p>
        </w:tc>
        <w:tc>
          <w:tcPr>
            <w:tcW w:type="dxa" w:w="2900"/>
            <w:shd w:fill="f7f7f2" w:val="clear"/>
            <w:tcMar>
              <w:top w:type="dxa" w:w="85"/>
              <w:left w:type="dxa" w:w="115"/>
              <w:bottom w:type="dxa" w:w="85"/>
              <w:right w:type="dxa" w:w="115"/>
            </w:tcMar>
          </w:tcPr>
          <w:p>
            <w:pPr>
              <w:spacing w:after="0" w:line="246"/>
            </w:pPr>
            <w:r>
              <w:rPr>
                <w:b w:val="false"/>
                <w:bCs w:val="false"/>
                <w:color w:val="1a1a1a"/>
                <w:sz w:val="19"/>
                <w:szCs w:val="19"/>
              </w:rPr>
              <w:t xml:space="preserve">The gauntlet runs the full exam; a fresh-context critic reviews in ranked passes; humans judge intent, quality, consequence</w:t>
            </w:r>
          </w:p>
        </w:tc>
        <w:tc>
          <w:tcPr>
            <w:tcW w:type="dxa" w:w="2560"/>
            <w:shd w:fill="f7f7f2" w:val="clear"/>
            <w:tcMar>
              <w:top w:type="dxa" w:w="85"/>
              <w:left w:type="dxa" w:w="115"/>
              <w:bottom w:type="dxa" w:w="85"/>
              <w:right w:type="dxa" w:w="115"/>
            </w:tcMar>
          </w:tcPr>
          <w:p>
            <w:pPr>
              <w:spacing w:after="0" w:line="246"/>
            </w:pPr>
            <w:r>
              <w:rPr>
                <w:b w:val="false"/>
                <w:bCs w:val="false"/>
                <w:color w:val="1a1a1a"/>
                <w:sz w:val="19"/>
                <w:szCs w:val="19"/>
              </w:rPr>
              <w:t xml:space="preserve">time to first review · caught vs escaped</w:t>
            </w:r>
          </w:p>
        </w:tc>
      </w:tr>
      <w:tr>
        <w:tc>
          <w:tcPr>
            <w:tcW w:type="dxa" w:w="1650"/>
            <w:tcMar>
              <w:top w:type="dxa" w:w="85"/>
              <w:left w:type="dxa" w:w="115"/>
              <w:bottom w:type="dxa" w:w="85"/>
              <w:right w:type="dxa" w:w="115"/>
            </w:tcMar>
          </w:tcPr>
          <w:p>
            <w:pPr>
              <w:spacing w:after="0" w:line="246"/>
            </w:pPr>
            <w:r>
              <w:rPr>
                <w:b w:val="false"/>
                <w:bCs w:val="false"/>
                <w:color w:val="1a1a1a"/>
                <w:sz w:val="19"/>
                <w:szCs w:val="19"/>
              </w:rPr>
              <w:t xml:space="preserve">06 Release</w:t>
            </w:r>
          </w:p>
        </w:tc>
        <w:tc>
          <w:tcPr>
            <w:tcW w:type="dxa" w:w="2450"/>
            <w:tcMar>
              <w:top w:type="dxa" w:w="85"/>
              <w:left w:type="dxa" w:w="115"/>
              <w:bottom w:type="dxa" w:w="85"/>
              <w:right w:type="dxa" w:w="115"/>
            </w:tcMar>
          </w:tcPr>
          <w:p>
            <w:pPr>
              <w:spacing w:after="0" w:line="246"/>
            </w:pPr>
            <w:r>
              <w:rPr>
                <w:b w:val="false"/>
                <w:bCs w:val="false"/>
                <w:color w:val="1a1a1a"/>
                <w:sz w:val="19"/>
                <w:szCs w:val="19"/>
              </w:rPr>
              <w:t xml:space="preserve">release record</w:t>
            </w:r>
          </w:p>
        </w:tc>
        <w:tc>
          <w:tcPr>
            <w:tcW w:type="dxa" w:w="2900"/>
            <w:tcMar>
              <w:top w:type="dxa" w:w="85"/>
              <w:left w:type="dxa" w:w="115"/>
              <w:bottom w:type="dxa" w:w="85"/>
              <w:right w:type="dxa" w:w="115"/>
            </w:tcMar>
          </w:tcPr>
          <w:p>
            <w:pPr>
              <w:spacing w:after="0" w:line="246"/>
            </w:pPr>
            <w:r>
              <w:rPr>
                <w:b w:val="false"/>
                <w:bCs w:val="false"/>
                <w:color w:val="1a1a1a"/>
                <w:sz w:val="19"/>
                <w:szCs w:val="19"/>
              </w:rPr>
              <w:t xml:space="preserve">Flag, canary slice, thresholds, rollback armed; autonomy tiers by environment; production requires a named authorization</w:t>
            </w:r>
          </w:p>
        </w:tc>
        <w:tc>
          <w:tcPr>
            <w:tcW w:type="dxa" w:w="2560"/>
            <w:tcMar>
              <w:top w:type="dxa" w:w="85"/>
              <w:left w:type="dxa" w:w="115"/>
              <w:bottom w:type="dxa" w:w="85"/>
              <w:right w:type="dxa" w:w="115"/>
            </w:tcMar>
          </w:tcPr>
          <w:p>
            <w:pPr>
              <w:spacing w:after="0" w:line="246"/>
            </w:pPr>
            <w:r>
              <w:rPr>
                <w:b w:val="false"/>
                <w:bCs w:val="false"/>
                <w:color w:val="1a1a1a"/>
                <w:sz w:val="19"/>
                <w:szCs w:val="19"/>
              </w:rPr>
              <w:t xml:space="preserve">gate wait time · change failure rate</w:t>
            </w:r>
          </w:p>
        </w:tc>
      </w:tr>
      <w:tr>
        <w:tc>
          <w:tcPr>
            <w:tcW w:type="dxa" w:w="1650"/>
            <w:shd w:fill="f7f7f2" w:val="clear"/>
            <w:tcMar>
              <w:top w:type="dxa" w:w="85"/>
              <w:left w:type="dxa" w:w="115"/>
              <w:bottom w:type="dxa" w:w="85"/>
              <w:right w:type="dxa" w:w="115"/>
            </w:tcMar>
          </w:tcPr>
          <w:p>
            <w:pPr>
              <w:spacing w:after="0" w:line="246"/>
            </w:pPr>
            <w:r>
              <w:rPr>
                <w:b w:val="false"/>
                <w:bCs w:val="false"/>
                <w:color w:val="1a1a1a"/>
                <w:sz w:val="19"/>
                <w:szCs w:val="19"/>
              </w:rPr>
              <w:t xml:space="preserve">07 Observe</w:t>
            </w:r>
          </w:p>
        </w:tc>
        <w:tc>
          <w:tcPr>
            <w:tcW w:type="dxa" w:w="2450"/>
            <w:shd w:fill="f7f7f2" w:val="clear"/>
            <w:tcMar>
              <w:top w:type="dxa" w:w="85"/>
              <w:left w:type="dxa" w:w="115"/>
              <w:bottom w:type="dxa" w:w="85"/>
              <w:right w:type="dxa" w:w="115"/>
            </w:tcMar>
          </w:tcPr>
          <w:p>
            <w:pPr>
              <w:spacing w:after="0" w:line="246"/>
            </w:pPr>
            <w:r>
              <w:rPr>
                <w:b w:val="false"/>
                <w:bCs w:val="false"/>
                <w:color w:val="1a1a1a"/>
                <w:sz w:val="19"/>
                <w:szCs w:val="19"/>
              </w:rPr>
              <w:t xml:space="preserve">band config + breach log</w:t>
            </w:r>
          </w:p>
        </w:tc>
        <w:tc>
          <w:tcPr>
            <w:tcW w:type="dxa" w:w="2900"/>
            <w:shd w:fill="f7f7f2" w:val="clear"/>
            <w:tcMar>
              <w:top w:type="dxa" w:w="85"/>
              <w:left w:type="dxa" w:w="115"/>
              <w:bottom w:type="dxa" w:w="85"/>
              <w:right w:type="dxa" w:w="115"/>
            </w:tcMar>
          </w:tcPr>
          <w:p>
            <w:pPr>
              <w:spacing w:after="0" w:line="246"/>
            </w:pPr>
            <w:r>
              <w:rPr>
                <w:b w:val="false"/>
                <w:bCs w:val="false"/>
                <w:color w:val="1a1a1a"/>
                <w:sz w:val="19"/>
                <w:szCs w:val="19"/>
              </w:rPr>
              <w:t xml:space="preserve">Deterministic control bands with tiered response: log, diagnose read-only, propose through a gated route</w:t>
            </w:r>
          </w:p>
        </w:tc>
        <w:tc>
          <w:tcPr>
            <w:tcW w:type="dxa" w:w="2560"/>
            <w:shd w:fill="f7f7f2" w:val="clear"/>
            <w:tcMar>
              <w:top w:type="dxa" w:w="85"/>
              <w:left w:type="dxa" w:w="115"/>
              <w:bottom w:type="dxa" w:w="85"/>
              <w:right w:type="dxa" w:w="115"/>
            </w:tcMar>
          </w:tcPr>
          <w:p>
            <w:pPr>
              <w:spacing w:after="0" w:line="246"/>
            </w:pPr>
            <w:r>
              <w:rPr>
                <w:b w:val="false"/>
                <w:bCs w:val="false"/>
                <w:color w:val="1a1a1a"/>
                <w:sz w:val="19"/>
                <w:szCs w:val="19"/>
              </w:rPr>
              <w:t xml:space="preserve">breach-to-brief time · repeat incidents</w:t>
            </w:r>
          </w:p>
        </w:tc>
      </w:tr>
      <w:tr>
        <w:tc>
          <w:tcPr>
            <w:tcW w:type="dxa" w:w="1650"/>
            <w:tcMar>
              <w:top w:type="dxa" w:w="85"/>
              <w:left w:type="dxa" w:w="115"/>
              <w:bottom w:type="dxa" w:w="85"/>
              <w:right w:type="dxa" w:w="115"/>
            </w:tcMar>
          </w:tcPr>
          <w:p>
            <w:pPr>
              <w:spacing w:after="0" w:line="246"/>
            </w:pPr>
            <w:r>
              <w:rPr>
                <w:b w:val="false"/>
                <w:bCs w:val="false"/>
                <w:color w:val="1a1a1a"/>
                <w:sz w:val="19"/>
                <w:szCs w:val="19"/>
              </w:rPr>
              <w:t xml:space="preserve">08 Learn</w:t>
            </w:r>
          </w:p>
        </w:tc>
        <w:tc>
          <w:tcPr>
            <w:tcW w:type="dxa" w:w="2450"/>
            <w:tcMar>
              <w:top w:type="dxa" w:w="85"/>
              <w:left w:type="dxa" w:w="115"/>
              <w:bottom w:type="dxa" w:w="85"/>
              <w:right w:type="dxa" w:w="115"/>
            </w:tcMar>
          </w:tcPr>
          <w:p>
            <w:pPr>
              <w:spacing w:after="0" w:line="246"/>
            </w:pPr>
            <w:r>
              <w:rPr>
                <w:b w:val="false"/>
                <w:bCs w:val="false"/>
                <w:color w:val="1a1a1a"/>
                <w:sz w:val="19"/>
                <w:szCs w:val="19"/>
              </w:rPr>
              <w:t xml:space="preserve">learning decision</w:t>
            </w:r>
          </w:p>
        </w:tc>
        <w:tc>
          <w:tcPr>
            <w:tcW w:type="dxa" w:w="2900"/>
            <w:tcMar>
              <w:top w:type="dxa" w:w="85"/>
              <w:left w:type="dxa" w:w="115"/>
              <w:bottom w:type="dxa" w:w="85"/>
              <w:right w:type="dxa" w:w="115"/>
            </w:tcMar>
          </w:tcPr>
          <w:p>
            <w:pPr>
              <w:spacing w:after="0" w:line="246"/>
            </w:pPr>
            <w:r>
              <w:rPr>
                <w:b w:val="false"/>
                <w:bCs w:val="false"/>
                <w:color w:val="1a1a1a"/>
                <w:sz w:val="19"/>
                <w:szCs w:val="19"/>
              </w:rPr>
              <w:t xml:space="preserve">Versioned decision (adapt, continue, scale, rollback, stop); incidents become permanent evals; changes to the operating system are eval-gated</w:t>
            </w:r>
          </w:p>
        </w:tc>
        <w:tc>
          <w:tcPr>
            <w:tcW w:type="dxa" w:w="2560"/>
            <w:tcMar>
              <w:top w:type="dxa" w:w="85"/>
              <w:left w:type="dxa" w:w="115"/>
              <w:bottom w:type="dxa" w:w="85"/>
              <w:right w:type="dxa" w:w="115"/>
            </w:tcMar>
          </w:tcPr>
          <w:p>
            <w:pPr>
              <w:spacing w:after="0" w:line="246"/>
            </w:pPr>
            <w:r>
              <w:rPr>
                <w:b w:val="false"/>
                <w:bCs w:val="false"/>
                <w:color w:val="1a1a1a"/>
                <w:sz w:val="19"/>
                <w:szCs w:val="19"/>
              </w:rPr>
              <w:t xml:space="preserve">incident-to-eval time · human hours per item</w:t>
            </w:r>
          </w:p>
        </w:tc>
      </w:tr>
    </w:tbl>
    <w:p>
      <w:pPr>
        <w:pStyle w:val="Heading1"/>
        <w:spacing w:after="60" w:before="340"/>
      </w:pPr>
      <w:r>
        <w:rPr>
          <w:b/>
          <w:bCs/>
          <w:color w:val="1a1a1a"/>
          <w:sz w:val="30"/>
          <w:szCs w:val="30"/>
        </w:rPr>
        <w:t xml:space="preserve">The Three Gates</w:t>
      </w:r>
    </w:p>
    <w:p>
      <w:pPr>
        <w:pBdr>
          <w:bottom w:val="single" w:color="2f4bd0" w:sz="8" w:space="4"/>
        </w:pBdr>
        <w:spacing w:after="200"/>
      </w:pPr>
      <w:r>
        <w:rPr>
          <w:sz w:val="2"/>
          <w:szCs w:val="2"/>
        </w:rPr>
        <w:t xml:space="preserve"/>
      </w:r>
    </w:p>
    <w:p>
      <w:pPr>
        <w:spacing w:after="160" w:line="274"/>
      </w:pPr>
      <w:r>
        <w:t>Flow stops for a human signature at exactly three points; everything between them moves at machine speed. Gate 1: what are we building, and why. Gate 2: what does provably done look like. Gate 3: does the evidence support release. Each signature is an authenticated approval binding identity, active hat, sequence position, and artifact revision.</w:t>
      </w:r>
    </w:p>
    <w:p>
      <w:r>
        <w:t>Default-closed means independent assurance is mandatory, not that every domain creates a routine human queue. For each activated domain, a fresh-context domain agent that did not build the work produces a revision-bound review. Those reviews become one exception brief for the accountable gate owner. In commercial mode, a human specialist joins only for an unresolved blocker or major finding, missing or inconclusive evidence, a waiver, an explicit legal, contractual, or policy requirement, material rights or irreversible external effects, manual accessibility release validation, or production and spending authorization. Regulated default-closed work retains a human specialist for every activated domain and two distinct human signers. One invariant never tiers: the agents that build can never edit or approve the exam they implement.</w:t>
      </w:r>
    </w:p>
    <w:p>
      <w:r>
        <w:t>Commercial default-closed work therefore requires current green domain-agent reviews, a passing fresh-context Critic with zero unresolved findings, one Tech Lead Gate 2 signature over the consolidated brief, and a separate-session Gate 3 second look. The system escalates exceptions visibly; it never silently converts a missing review into a pass.</w:t>
      </w:r>
    </w:p>
    <w:p>
      <w:pPr>
        <w:pStyle w:val="Heading1"/>
        <w:spacing w:after="60" w:before="340"/>
      </w:pPr>
      <w:r>
        <w:rPr>
          <w:b/>
          <w:bCs/>
          <w:color w:val="1a1a1a"/>
          <w:sz w:val="30"/>
          <w:szCs w:val="30"/>
        </w:rPr>
        <w:t xml:space="preserve">Measurement</w:t>
      </w:r>
    </w:p>
    <w:p>
      <w:pPr>
        <w:pBdr>
          <w:bottom w:val="single" w:color="2f4bd0" w:sz="8" w:space="4"/>
        </w:pBdr>
        <w:spacing w:after="200"/>
      </w:pPr>
      <w:r>
        <w:rPr>
          <w:sz w:val="2"/>
          <w:szCs w:val="2"/>
        </w:rPr>
        <w:t xml:space="preserve"/>
      </w:r>
    </w:p>
    <w:p>
      <w:pPr>
        <w:spacing w:after="160" w:line="274"/>
      </w:pPr>
      <w:r>
        <w:rPr>
          <w:color w:val="1a1a1a"/>
          <w:sz w:val="22"/>
          <w:szCs w:val="22"/>
        </w:rPr>
        <w:t xml:space="preserve">Activity metrics are retired: velocity, story points, and utilization measure typing, and typing is no longer scarce. Four numbers run the framework, each paired so it cannot be gamed in isolation: outcome impact against the brief's contract (with baseline, denominator, and observation window); first-pass verification rate, read only alongside escaped defects; escaped defects, each one becoming a guardrail; and the north star, human hours per shipped item, trending down release over release while outcomes and guardrails hold. Every play also carries one leading and one lagging indicator, so the loop is measured everywhere it can drift.</w:t>
      </w:r>
    </w:p>
    <w:p>
      <w:pPr>
        <w:spacing w:after="55" w:before="110"/>
        <w:jc w:val="center"/>
      </w:pPr>
      <w:r>
        <w:drawing>
          <wp:inline distT="0" distB="0" distL="0" distR="0">
            <wp:extent cx="4933950" cy="1943100"/>
            <wp:effectExtent t="0" r="0" b="0" l="0"/>
            <wp:docPr id="1" name="Figure 3" descr="Chart showing human hours per shipped item falling as trust is earned while escaped defects remain below the guardrai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1943100"/>
                    </a:xfrm>
                    <a:prstGeom prst="rect">
                      <a:avLst/>
                    </a:prstGeom>
                  </pic:spPr>
                </pic:pic>
              </a:graphicData>
            </a:graphic>
          </wp:inline>
        </w:drawing>
      </w:r>
    </w:p>
    <w:p>
      <w:pPr>
        <w:spacing w:after="195"/>
        <w:jc w:val="center"/>
      </w:pPr>
      <w:r>
        <w:rPr>
          <w:i/>
          <w:iCs/>
          <w:color w:val="6b6b6b"/>
          <w:sz w:val="18"/>
          <w:szCs w:val="18"/>
        </w:rPr>
        <w:t>Greenfield products may use explicit leading indicators until production telemetry exists; these render as greenfield rather than falsely measurable. Human hours per item trend to the accountability floor while guardrails hold.</w:t>
      </w:r>
    </w:p>
    <w:p>
      <w:pPr>
        <w:pStyle w:val="Heading1"/>
        <w:pageBreakBefore/>
        <w:spacing w:before="340" w:after="60"/>
      </w:pPr>
      <w:r>
        <w:rPr>
          <w:b/>
          <w:color w:val="1A1A1A"/>
          <w:sz w:val="30"/>
        </w:rPr>
        <w:t>Sizing and Scoping</w:t>
      </w:r>
    </w:p>
    <w:p>
      <w:pPr>
        <w:spacing w:after="160" w:line="274" w:lineRule="auto"/>
      </w:pPr>
      <w:r>
        <w:rPr>
          <w:color w:val="1A1A1A"/>
          <w:sz w:val="22"/>
        </w:rPr>
      </w:r>
    </w:p>
    <w:p>
      <w:pPr>
        <w:spacing w:after="160" w:line="274" w:lineRule="auto"/>
      </w:pPr>
      <w:r>
        <w:rPr>
          <w:color w:val="1A1A1A"/>
          <w:sz w:val="22"/>
        </w:rPr>
        <w:t>STEER sizes ambiguity, not agent effort. At Frame, a brief is right-sized only when it can be expressed as one outcome, one independently authored exam, and one coherent shape. If the exam cannot be written crisply, split the brief before Gate 1. Scope then freezes at Gate 1: a new want must return as a revision through the gate or become a new brief.</w:t>
      </w:r>
    </w:p>
    <w:p>
      <w:pPr>
        <w:spacing w:after="160" w:line="274" w:lineRule="auto"/>
      </w:pPr>
      <w:r>
        <w:rPr>
          <w:color w:val="1A1A1A"/>
          <w:sz w:val="22"/>
        </w:rPr>
        <w:t>Engineer adds a second alarm: a plan that sprawls across roughly twenty files and four systems is a signal to split at a user path, domain tag, interface seam, or legacy on-ramp. Builders implement to the signed exam and cannot expand or edit it.</w:t>
      </w:r>
    </w:p>
    <w:p>
      <w:pPr>
        <w:spacing w:after="160" w:line="274" w:lineRule="auto"/>
      </w:pPr>
      <w:r>
        <w:rPr>
          <w:color w:val="1A1A1A"/>
          <w:sz w:val="22"/>
        </w:rPr>
        <w:t>Forecasting uses cycle-time percentiles by brief shape, normally the 85th percentile, while aging replaces sprint rollover: each Flight Board state has a historical cycle-time band, and a breach escalates to a huddle. Real deadlines enter the brief as constraints, never as estimates. See STEER Practice Note 1, Sizing and Scoping Work in STEER, for the complete operating guidance.</w:t>
      </w:r>
    </w:p>
    <w:p>
      <w:pPr>
        <w:spacing w:after="90" w:before="240"/>
      </w:pPr>
      <w:r>
        <w:rPr>
          <w:b/>
          <w:bCs/>
          <w:color w:val="1a1a1a"/>
          <w:sz w:val="21"/>
          <w:szCs w:val="21"/>
        </w:rPr>
        <w:t xml:space="preserve">The STEER document set</w:t>
      </w:r>
    </w:p>
    <w:p>
      <w:pPr>
        <w:pStyle w:val="ListParagraph"/>
        <w:numPr>
          <w:ilvl w:val="0"/>
          <w:numId w:val="2"/>
        </w:numPr>
        <w:spacing w:after="80" w:line="268"/>
      </w:pPr>
      <w:r>
        <w:rPr>
          <w:b/>
          <w:bCs/>
          <w:color w:val="1a1a1a"/>
          <w:sz w:val="20"/>
          <w:szCs w:val="20"/>
        </w:rPr>
        <w:t xml:space="preserve">STEER Methodology</w:t>
      </w:r>
      <w:r>
        <w:rPr>
          <w:color w:val="333333"/>
          <w:sz w:val="20"/>
          <w:szCs w:val="20"/>
        </w:rPr>
        <w:t xml:space="preserve"> · Why: the constraint shift, the values, the principles that govern every decision</w:t>
      </w:r>
    </w:p>
    <w:p>
      <w:pPr>
        <w:pStyle w:val="ListParagraph"/>
        <w:numPr>
          <w:ilvl w:val="0"/>
          <w:numId w:val="2"/>
        </w:numPr>
        <w:spacing w:after="80" w:line="268"/>
      </w:pPr>
      <w:r>
        <w:rPr>
          <w:b/>
          <w:bCs/>
          <w:color w:val="2f4bd0"/>
          <w:sz w:val="20"/>
          <w:szCs w:val="20"/>
        </w:rPr>
        <w:t xml:space="preserve">STEER Framework (this document)</w:t>
      </w:r>
      <w:r>
        <w:rPr>
          <w:color w:val="333333"/>
          <w:sz w:val="20"/>
          <w:szCs w:val="20"/>
        </w:rPr>
        <w:t xml:space="preserve"> · What: the structure, the artifact chain, the plays, the gates, the metrics</w:t>
      </w:r>
    </w:p>
    <w:p>
      <w:pPr>
        <w:pStyle w:val="ListParagraph"/>
        <w:numPr>
          <w:ilvl w:val="0"/>
          <w:numId w:val="2"/>
        </w:numPr>
        <w:spacing w:after="80" w:line="268"/>
      </w:pPr>
      <w:r>
        <w:rPr>
          <w:b/>
          <w:bCs/>
          <w:color w:val="1a1a1a"/>
          <w:sz w:val="20"/>
          <w:szCs w:val="20"/>
        </w:rPr>
        <w:t xml:space="preserve">STEER Operating Model</w:t>
      </w:r>
      <w:r>
        <w:rPr>
          <w:color w:val="333333"/>
          <w:sz w:val="20"/>
          <w:szCs w:val="20"/>
        </w:rPr>
        <w:t xml:space="preserve"> · How: accountabilities, decision rights, trust policy, culture, and scale</w:t>
      </w:r>
    </w:p>
    <w:p>
      <w:pPr>
        <w:pStyle w:val="ListParagraph"/>
        <w:numPr>
          <w:ilvl w:val="0"/>
          <w:numId w:val="2"/>
        </w:numPr>
        <w:spacing w:after="80" w:line="268"/>
      </w:pPr>
      <w:r>
        <w:rPr>
          <w:b/>
          <w:color w:val="1A1A1A"/>
          <w:sz w:val="20"/>
        </w:rPr>
        <w:t>STEER Practice Note 1 · Sizing and Scoping Work in STEER · How: exam-writability, scope alarms, aging bands, and percentile forecasting</w:t>
      </w:r>
    </w:p>
    <w:p>
      <w:pPr>
        <w:pStyle w:val="ListParagraph"/>
        <w:numPr>
          <w:ilvl w:val="0"/>
          <w:numId w:val="2"/>
        </w:numPr>
        <w:spacing w:after="80" w:line="268"/>
      </w:pPr>
      <w:r>
        <w:rPr>
          <w:b/>
          <w:color w:val="1A1A1A"/>
          <w:sz w:val="20"/>
        </w:rPr>
        <w:t>STEER Practice Note 2 · Providing Intent · How: interviews, rendered drafts, open questions, and meaning-first approval</w:t>
      </w:r>
    </w:p>
    <w:p>
      <w:pPr>
        <w:pStyle w:val="ListParagraph"/>
        <w:numPr>
          <w:ilvl w:val="0"/>
          <w:numId w:val="2"/>
        </w:numPr>
        <w:spacing w:after="80" w:line="268"/>
      </w:pPr>
      <w:r>
        <w:rPr>
          <w:b/>
          <w:color w:val="1A1A1A"/>
          <w:sz w:val="20"/>
        </w:rPr>
        <w:t>STEER Practice Note 3 · The Three Surfaces · How: intent backlog, pull boundary, role home, and protected attention</w:t>
      </w:r>
    </w:p>
    <w:p>
      <w:pPr>
        <w:spacing w:after="0"/>
      </w:pPr>
      <w:r>
        <w:rPr>
          <w:i/>
          <w:iCs/>
          <w:color w:val="6b6b6b"/>
          <w:sz w:val="19"/>
          <w:szCs w:val="19"/>
        </w:rPr>
        <w:t xml:space="preserve">The Guidebook is the complete reference; the Whitepaper is the shareable overview.</w:t>
      </w:r>
    </w:p>
    <w:sectPr>
      <w:footerReference w:type="default" r:id="rId7"/>
      <w:headerReference w:type="default" r:id="rId12"/>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STEER Framework · Idriss Enayat · © 2026    ·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style>
  <w:style w:type="paragraph" w:customStyle="1" w:styleId="Heading1">
    <w:name w:val="heading 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e25c2675ed74676f0b9ce8dde11e06a818e2119.png"/><Relationship Id="rId9" Type="http://schemas.openxmlformats.org/officeDocument/2006/relationships/image" Target="media/7fefa7dfa6cc8c1e659224771f94d8025f7c2018.png"/><Relationship Id="rId10" Type="http://schemas.openxmlformats.org/officeDocument/2006/relationships/image" Target="media/e66861e2a235ec2ace7966e23fbea6450de19331.png"/><Relationship Id="rId11" Type="http://schemas.openxmlformats.org/officeDocument/2006/relationships/fontTable" Target="fontTable.xml"/><Relationship Id="rId12"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2026-08-28T17:38:40.903Z</dcterms:created>
  <dcterms:modified xsi:type="dcterms:W3CDTF">2026-08-28T17:38:40.903Z</dcterms:modified>
  <dc:title>STEER Framework v3.1</dc:title>
  <dc:subject>What STEER is: organization structure, artifact chain, plays, gates, and measurement</dc:subject>
</cp:coreProperties>
</file>

<file path=docProps/custom.xml><?xml version="1.0" encoding="utf-8"?>
<Properties xmlns="http://schemas.openxmlformats.org/officeDocument/2006/custom-properties" xmlns:vt="http://schemas.openxmlformats.org/officeDocument/2006/docPropsVTypes"/>
</file>