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keepLines/>
        <w:pBdr>
          <w:bottom w:val="single" w:color="2F4BD0" w:sz="14" w:space="10"/>
        </w:pBdr>
      </w:pPr>
      <w:r>
        <w:rPr>
          <w:rFonts w:ascii="Aptos" w:hAnsi="Aptos"/>
          <w:color w:val="6B6B6B"/>
          <w:sz w:val="18"/>
        </w:rPr>
        <w:t>THE STEER DOCUMENT SET · 3 OF 3</w:t>
      </w:r>
    </w:p>
    <w:p>
      <w:pPr>
        <w:pStyle w:val="Title"/>
        <w:keepLines/>
      </w:pPr>
      <w:r>
        <w:rPr>
          <w:color w:val="000000"/>
          <w:u w:val="none"/>
        </w:rPr>
        <w:t>STEER Operating Model v3.2</w:t>
      </w:r>
    </w:p>
    <w:p>
      <w:pPr>
        <w:pStyle w:val="Subtitle"/>
        <w:keepLines/>
      </w:pPr>
      <w:r>
        <w:t>How organizations run it: accountabilities, decision rights, trust, culture, and scale</w:t>
      </w:r>
    </w:p>
    <w:p>
      <w:pPr>
        <w:keepLines/>
        <w:spacing w:after="360"/>
      </w:pPr>
      <w:r>
        <w:rPr>
          <w:sz w:val="22"/>
        </w:rPr>
        <w:t>Idriss Enayat   ·   Framework v3.2   ·   September 2026</w:t>
      </w:r>
    </w:p>
    <w:p>
      <w:pPr>
        <w:keepLines/>
      </w:pPr>
      <w:r>
        <w:rPr>
          <w:rFonts w:ascii="Aptos" w:hAnsi="Aptos"/>
          <w:b w:val="0"/>
          <w:i w:val="0"/>
        </w:rPr>
        <w:t>This document defines how an organization runs STEER: who holds which decision, how autonomy is metered, what protects the human channel, how one pod scales to a portfolio, and how a new organization starts. The Methodology document states why; the Framework document defines the structure this model operates.</w:t>
      </w:r>
    </w:p>
    <w:p>
      <w:pPr>
        <w:pStyle w:val="Heading1"/>
        <w:keepNext/>
        <w:keepLines/>
        <w:pBdr>
          <w:bottom w:val="single" w:color="2F4BD0" w:sz="10" w:space="5"/>
        </w:pBdr>
      </w:pPr>
      <w:r>
        <w:rPr>
          <w:rFonts w:ascii="Aptos" w:hAnsi="Aptos"/>
          <w:b/>
          <w:i w:val="0"/>
        </w:rPr>
        <w:t>Four Accountabilities, Signature Semantics</w:t>
      </w:r>
    </w:p>
    <w:p>
      <w:pPr>
        <w:keepLines/>
      </w:pPr>
      <w:r>
        <w:rPr>
          <w:rFonts w:ascii="Aptos" w:hAnsi="Aptos"/>
          <w:b w:val="0"/>
          <w:i w:val="0"/>
        </w:rPr>
        <w:t>Agents do the labor; four humans own the decisions. On small teams people wear several hats, and the accountabilities are real regardless. What never transfers to any agent: intent, dissent, and legally binding accountability. Someone signs.</w:t>
      </w:r>
    </w:p>
    <w:tbl>
      <w:tblPr>
        <w:tblStyle w:val="TableGrid"/>
        <w:tblW w:type="auto" w:w="0"/>
        <w:jc w:val="center"/>
        <w:tblLayout w:type="autofit"/>
        <w:tblLook w:firstColumn="1" w:firstRow="1" w:lastColumn="0" w:lastRow="0" w:noHBand="0" w:noVBand="1" w:val="04A0"/>
      </w:tblPr>
      <w:tblGrid>
        <w:gridCol w:w="3293"/>
        <w:gridCol w:w="3293"/>
        <w:gridCol w:w="3293"/>
      </w:tblGrid>
      <w:tr>
        <w:trPr>
          <w:cantSplit/>
          <w:tblHeader w:val="true"/>
        </w:trPr>
        <w:tc>
          <w:tcPr>
            <w:tcW w:type="dxa" w:w="3293"/>
            <w:vAlign w:val="top"/>
            <w:tcMar>
              <w:top w:w="70" w:type="dxa"/>
              <w:start w:w="90" w:type="dxa"/>
              <w:bottom w:w="70" w:type="dxa"/>
              <w:end w:w="90" w:type="dxa"/>
            </w:tcMar>
            <w:shd w:fill="E8E8E0"/>
          </w:tcPr>
          <w:p>
            <w:pPr>
              <w:spacing w:after="0" w:line="252" w:lineRule="auto"/>
            </w:pPr>
            <w:r>
              <w:rPr>
                <w:rFonts w:ascii="Aptos" w:hAnsi="Aptos"/>
                <w:b/>
                <w:i w:val="0"/>
                <w:sz w:val="17"/>
              </w:rPr>
              <w:t>Accountability</w:t>
            </w:r>
          </w:p>
        </w:tc>
        <w:tc>
          <w:tcPr>
            <w:tcW w:type="dxa" w:w="3293"/>
            <w:vAlign w:val="top"/>
            <w:tcMar>
              <w:top w:w="70" w:type="dxa"/>
              <w:start w:w="90" w:type="dxa"/>
              <w:bottom w:w="70" w:type="dxa"/>
              <w:end w:w="90" w:type="dxa"/>
            </w:tcMar>
            <w:shd w:fill="E8E8E0"/>
          </w:tcPr>
          <w:p>
            <w:pPr>
              <w:spacing w:after="0" w:line="252" w:lineRule="auto"/>
            </w:pPr>
            <w:r>
              <w:rPr>
                <w:rFonts w:ascii="Aptos" w:hAnsi="Aptos"/>
                <w:b/>
                <w:i w:val="0"/>
                <w:sz w:val="17"/>
              </w:rPr>
              <w:t>Owns</w:t>
            </w:r>
          </w:p>
        </w:tc>
        <w:tc>
          <w:tcPr>
            <w:tcW w:type="dxa" w:w="3293"/>
            <w:vAlign w:val="top"/>
            <w:tcMar>
              <w:top w:w="70" w:type="dxa"/>
              <w:start w:w="90" w:type="dxa"/>
              <w:bottom w:w="70" w:type="dxa"/>
              <w:end w:w="90" w:type="dxa"/>
            </w:tcMar>
            <w:shd w:fill="E8E8E0"/>
          </w:tcPr>
          <w:p>
            <w:pPr>
              <w:spacing w:after="0" w:line="252" w:lineRule="auto"/>
            </w:pPr>
            <w:r>
              <w:rPr>
                <w:rFonts w:ascii="Aptos" w:hAnsi="Aptos"/>
                <w:b/>
                <w:i w:val="0"/>
                <w:sz w:val="17"/>
              </w:rPr>
              <w:t>Signs</w:t>
            </w:r>
          </w:p>
        </w:tc>
      </w:tr>
      <w:tr>
        <w:trPr>
          <w:cantSplit/>
        </w:trPr>
        <w:tc>
          <w:tcPr>
            <w:tcW w:type="dxa" w:w="3293"/>
            <w:vAlign w:val="top"/>
            <w:tcMar>
              <w:top w:w="70" w:type="dxa"/>
              <w:start w:w="90" w:type="dxa"/>
              <w:bottom w:w="70" w:type="dxa"/>
              <w:end w:w="90" w:type="dxa"/>
            </w:tcMar>
            <w:shd w:fill="F7F7F2"/>
          </w:tcPr>
          <w:p>
            <w:pPr>
              <w:spacing w:after="0" w:line="252" w:lineRule="auto"/>
            </w:pPr>
            <w:r>
              <w:rPr>
                <w:rFonts w:ascii="Aptos" w:hAnsi="Aptos"/>
                <w:b w:val="0"/>
                <w:i w:val="0"/>
                <w:sz w:val="17"/>
              </w:rPr>
              <w:t>Product Lead</w:t>
            </w:r>
          </w:p>
        </w:tc>
        <w:tc>
          <w:tcPr>
            <w:tcW w:type="dxa" w:w="3293"/>
            <w:vAlign w:val="top"/>
            <w:tcMar>
              <w:top w:w="70" w:type="dxa"/>
              <w:start w:w="90" w:type="dxa"/>
              <w:bottom w:w="70" w:type="dxa"/>
              <w:end w:w="90" w:type="dxa"/>
            </w:tcMar>
            <w:shd w:fill="F7F7F2"/>
          </w:tcPr>
          <w:p>
            <w:pPr>
              <w:spacing w:after="0" w:line="252" w:lineRule="auto"/>
            </w:pPr>
            <w:r>
              <w:rPr>
                <w:rFonts w:ascii="Aptos" w:hAnsi="Aptos"/>
                <w:b w:val="0"/>
                <w:i w:val="0"/>
                <w:sz w:val="17"/>
              </w:rPr>
              <w:t>What and why: pulls work into flight, owns the outcome contract, paces the system (the WIP limit is this person's protected attention)</w:t>
            </w:r>
          </w:p>
        </w:tc>
        <w:tc>
          <w:tcPr>
            <w:tcW w:type="dxa" w:w="3293"/>
            <w:vAlign w:val="top"/>
            <w:tcMar>
              <w:top w:w="70" w:type="dxa"/>
              <w:start w:w="90" w:type="dxa"/>
              <w:bottom w:w="70" w:type="dxa"/>
              <w:end w:w="90" w:type="dxa"/>
            </w:tcMar>
            <w:shd w:fill="F7F7F2"/>
          </w:tcPr>
          <w:p>
            <w:pPr>
              <w:spacing w:after="0" w:line="252" w:lineRule="auto"/>
            </w:pPr>
            <w:r>
              <w:rPr>
                <w:rFonts w:ascii="Aptos" w:hAnsi="Aptos"/>
                <w:b w:val="0"/>
                <w:i w:val="0"/>
                <w:sz w:val="17"/>
              </w:rPr>
              <w:t>Gates 1 and 3</w:t>
            </w:r>
          </w:p>
        </w:tc>
      </w:tr>
      <w:tr>
        <w:trPr>
          <w:cantSplit/>
        </w:trPr>
        <w:tc>
          <w:tcPr>
            <w:tcW w:type="dxa" w:w="3293"/>
            <w:vAlign w:val="top"/>
            <w:tcMar>
              <w:top w:w="70" w:type="dxa"/>
              <w:start w:w="90" w:type="dxa"/>
              <w:bottom w:w="70" w:type="dxa"/>
              <w:end w:w="90" w:type="dxa"/>
            </w:tcMar>
            <w:shd w:fill="FFFFFF"/>
          </w:tcPr>
          <w:p>
            <w:pPr>
              <w:spacing w:after="0" w:line="252" w:lineRule="auto"/>
            </w:pPr>
            <w:r>
              <w:rPr>
                <w:rFonts w:ascii="Aptos" w:hAnsi="Aptos"/>
                <w:b w:val="0"/>
                <w:i w:val="0"/>
                <w:sz w:val="17"/>
              </w:rPr>
              <w:t>Product Designer</w:t>
            </w:r>
          </w:p>
        </w:tc>
        <w:tc>
          <w:tcPr>
            <w:tcW w:type="dxa" w:w="3293"/>
            <w:vAlign w:val="top"/>
            <w:tcMar>
              <w:top w:w="70" w:type="dxa"/>
              <w:start w:w="90" w:type="dxa"/>
              <w:bottom w:w="70" w:type="dxa"/>
              <w:end w:w="90" w:type="dxa"/>
            </w:tcMar>
            <w:shd w:fill="FFFFFF"/>
          </w:tcPr>
          <w:p>
            <w:pPr>
              <w:spacing w:after="0" w:line="252" w:lineRule="auto"/>
            </w:pPr>
            <w:r>
              <w:rPr>
                <w:rFonts w:ascii="Aptos" w:hAnsi="Aptos"/>
                <w:b w:val="0"/>
                <w:i w:val="0"/>
                <w:sz w:val="17"/>
              </w:rPr>
              <w:t>Design intent and the shipped experience</w:t>
            </w:r>
          </w:p>
        </w:tc>
        <w:tc>
          <w:tcPr>
            <w:tcW w:type="dxa" w:w="3293"/>
            <w:vAlign w:val="top"/>
            <w:tcMar>
              <w:top w:w="70" w:type="dxa"/>
              <w:start w:w="90" w:type="dxa"/>
              <w:bottom w:w="70" w:type="dxa"/>
              <w:end w:w="90" w:type="dxa"/>
            </w:tcMar>
            <w:shd w:fill="FFFFFF"/>
          </w:tcPr>
          <w:p>
            <w:pPr>
              <w:spacing w:after="0" w:line="252" w:lineRule="auto"/>
            </w:pPr>
            <w:r>
              <w:rPr>
                <w:rFonts w:ascii="Aptos" w:hAnsi="Aptos"/>
                <w:b w:val="0"/>
                <w:i w:val="0"/>
                <w:sz w:val="17"/>
              </w:rPr>
              <w:t>Gate 1; Gate 3 for user-facing change</w:t>
            </w:r>
          </w:p>
        </w:tc>
      </w:tr>
      <w:tr>
        <w:trPr>
          <w:cantSplit/>
        </w:trPr>
        <w:tc>
          <w:tcPr>
            <w:tcW w:type="dxa" w:w="3293"/>
            <w:vAlign w:val="top"/>
            <w:tcMar>
              <w:top w:w="70" w:type="dxa"/>
              <w:start w:w="90" w:type="dxa"/>
              <w:bottom w:w="70" w:type="dxa"/>
              <w:end w:w="90" w:type="dxa"/>
            </w:tcMar>
            <w:shd w:fill="F7F7F2"/>
          </w:tcPr>
          <w:p>
            <w:pPr>
              <w:spacing w:after="0" w:line="252" w:lineRule="auto"/>
            </w:pPr>
            <w:r>
              <w:rPr>
                <w:rFonts w:ascii="Aptos" w:hAnsi="Aptos"/>
                <w:b w:val="0"/>
                <w:i w:val="0"/>
                <w:sz w:val="17"/>
              </w:rPr>
              <w:t>Tech Lead</w:t>
            </w:r>
          </w:p>
        </w:tc>
        <w:tc>
          <w:tcPr>
            <w:tcW w:type="dxa" w:w="3293"/>
            <w:vAlign w:val="top"/>
            <w:tcMar>
              <w:top w:w="70" w:type="dxa"/>
              <w:start w:w="90" w:type="dxa"/>
              <w:bottom w:w="70" w:type="dxa"/>
              <w:end w:w="90" w:type="dxa"/>
            </w:tcMar>
            <w:shd w:fill="F7F7F2"/>
          </w:tcPr>
          <w:p>
            <w:pPr>
              <w:spacing w:after="0" w:line="252" w:lineRule="auto"/>
            </w:pPr>
            <w:r>
              <w:rPr>
                <w:rFonts w:ascii="Aptos" w:hAnsi="Aptos"/>
                <w:b w:val="0"/>
                <w:i w:val="0"/>
                <w:sz w:val="17"/>
              </w:rPr>
              <w:t>Correctness and the exam; judges what machines cannot</w:t>
            </w:r>
          </w:p>
        </w:tc>
        <w:tc>
          <w:tcPr>
            <w:tcW w:type="dxa" w:w="3293"/>
            <w:vAlign w:val="top"/>
            <w:tcMar>
              <w:top w:w="70" w:type="dxa"/>
              <w:start w:w="90" w:type="dxa"/>
              <w:bottom w:w="70" w:type="dxa"/>
              <w:end w:w="90" w:type="dxa"/>
            </w:tcMar>
            <w:shd w:fill="F7F7F2"/>
          </w:tcPr>
          <w:p>
            <w:pPr>
              <w:spacing w:after="0" w:line="252" w:lineRule="auto"/>
            </w:pPr>
            <w:r>
              <w:rPr>
                <w:rFonts w:ascii="Aptos" w:hAnsi="Aptos"/>
                <w:b w:val="0"/>
                <w:i w:val="0"/>
                <w:sz w:val="17"/>
              </w:rPr>
              <w:t>Gates 2 and 3</w:t>
            </w:r>
          </w:p>
        </w:tc>
      </w:tr>
      <w:tr>
        <w:trPr>
          <w:cantSplit/>
        </w:trPr>
        <w:tc>
          <w:tcPr>
            <w:tcW w:type="dxa" w:w="3293"/>
            <w:vAlign w:val="top"/>
            <w:tcMar>
              <w:top w:w="70" w:type="dxa"/>
              <w:start w:w="90" w:type="dxa"/>
              <w:bottom w:w="70" w:type="dxa"/>
              <w:end w:w="90" w:type="dxa"/>
            </w:tcMar>
            <w:shd w:fill="FFFFFF"/>
          </w:tcPr>
          <w:p>
            <w:pPr>
              <w:spacing w:after="0" w:line="252" w:lineRule="auto"/>
            </w:pPr>
            <w:r>
              <w:rPr>
                <w:rFonts w:ascii="Aptos" w:hAnsi="Aptos"/>
                <w:b w:val="0"/>
                <w:i w:val="0"/>
                <w:sz w:val="17"/>
              </w:rPr>
              <w:t>Platform Engineer</w:t>
            </w:r>
          </w:p>
        </w:tc>
        <w:tc>
          <w:tcPr>
            <w:tcW w:type="dxa" w:w="3293"/>
            <w:vAlign w:val="top"/>
            <w:tcMar>
              <w:top w:w="70" w:type="dxa"/>
              <w:start w:w="90" w:type="dxa"/>
              <w:bottom w:w="70" w:type="dxa"/>
              <w:end w:w="90" w:type="dxa"/>
            </w:tcMar>
            <w:shd w:fill="FFFFFF"/>
          </w:tcPr>
          <w:p>
            <w:pPr>
              <w:spacing w:after="0" w:line="252" w:lineRule="auto"/>
            </w:pPr>
            <w:r>
              <w:rPr>
                <w:rFonts w:ascii="Aptos" w:hAnsi="Aptos"/>
                <w:b w:val="0"/>
                <w:i w:val="0"/>
                <w:sz w:val="17"/>
              </w:rPr>
              <w:t>The agent fleet, its guardrails, its cost; keeps machine speed safe</w:t>
            </w:r>
          </w:p>
        </w:tc>
        <w:tc>
          <w:tcPr>
            <w:tcW w:type="dxa" w:w="3293"/>
            <w:vAlign w:val="top"/>
            <w:tcMar>
              <w:top w:w="70" w:type="dxa"/>
              <w:start w:w="90" w:type="dxa"/>
              <w:bottom w:w="70" w:type="dxa"/>
              <w:end w:w="90" w:type="dxa"/>
            </w:tcMar>
            <w:shd w:fill="FFFFFF"/>
          </w:tcPr>
          <w:p>
            <w:pPr>
              <w:spacing w:after="0" w:line="252" w:lineRule="auto"/>
            </w:pPr>
            <w:r>
              <w:rPr>
                <w:rFonts w:ascii="Aptos" w:hAnsi="Aptos"/>
                <w:b w:val="0"/>
                <w:i w:val="0"/>
                <w:sz w:val="17"/>
              </w:rPr>
              <w:t>Fleet and hook changes (eval-gated)</w:t>
            </w:r>
          </w:p>
        </w:tc>
      </w:tr>
    </w:tbl>
    <w:p>
      <w:pPr>
        <w:keepLines/>
        <w:spacing w:after="0"/>
      </w:pPr>
    </w:p>
    <w:p>
      <w:pPr>
        <w:keepLines/>
      </w:pPr>
      <w:r>
        <w:t>Domain assurance plugs in through three sockets rather than standing meetings: guardrails in the exam, an independent domain-review agent, and a human exception owner. Activated domains always receive a current agent review. A human specialist seat appears only when an explicit escalation trigger fires or the regulated profile requires it.</w:t>
      </w:r>
    </w:p>
    <w:p>
      <w:pPr>
        <w:pStyle w:val="Heading1"/>
        <w:keepNext/>
        <w:keepLines/>
        <w:pBdr>
          <w:bottom w:val="single" w:color="2F4BD0" w:sz="10" w:space="5"/>
        </w:pBdr>
      </w:pPr>
      <w:r>
        <w:rPr>
          <w:rFonts w:ascii="Aptos" w:hAnsi="Aptos"/>
          <w:b/>
          <w:i w:val="0"/>
        </w:rPr>
        <w:t>Two Governing Commitments</w:t>
      </w:r>
    </w:p>
    <w:p>
      <w:pPr>
        <w:pStyle w:val="ListBullet"/>
        <w:keepLines/>
        <w:spacing w:after="100"/>
        <w:ind w:left="317" w:hanging="202"/>
      </w:pPr>
      <w:r>
        <w:rPr>
          <w:rFonts w:ascii="Aptos" w:hAnsi="Aptos"/>
          <w:b/>
          <w:i w:val="0"/>
        </w:rPr>
        <w:t>Solo operation is a first-class mode.</w:t>
      </w:r>
      <w:r>
        <w:rPr>
          <w:rFonts w:ascii="Aptos" w:hAnsi="Aptos"/>
          <w:b w:val="0"/>
          <w:i w:val="0"/>
        </w:rPr>
        <w:t xml:space="preserve"> Any human may hold any number of accountabilities, including all of them. Hats are explicit: every signature records identity and hat. Separation of duties degrades by declared minimum-distinct-signer policy, never silently.</w:t>
      </w:r>
    </w:p>
    <w:p>
      <w:pPr>
        <w:pStyle w:val="ListBullet"/>
        <w:keepLines/>
        <w:spacing w:after="100"/>
        <w:ind w:left="317" w:hanging="202"/>
      </w:pPr>
      <w:r>
        <w:rPr>
          <w:rFonts w:ascii="Aptos" w:hAnsi="Aptos"/>
          <w:b/>
          <w:i w:val="0"/>
        </w:rPr>
        <w:t>Agent-first operation.</w:t>
      </w:r>
      <w:r>
        <w:rPr>
          <w:rFonts w:ascii="Aptos" w:hAnsi="Aptos"/>
          <w:b w:val="0"/>
          <w:i w:val="0"/>
        </w:rPr>
        <w:t xml:space="preserve"> Setup, administration, drafting, routing, and reporting are agent labor. A human talks, corrects, and signs. Every interface action is also a tool an agent can call under the same authorization. Human form-filling is a defect except for a deliberate gate signature.</w:t>
      </w:r>
    </w:p>
    <w:p>
      <w:pPr>
        <w:pStyle w:val="Heading1"/>
        <w:keepNext/>
        <w:keepLines/>
        <w:pBdr>
          <w:bottom w:val="single" w:color="2F4BD0" w:sz="10" w:space="5"/>
        </w:pBdr>
      </w:pPr>
      <w:r>
        <w:rPr>
          <w:rFonts w:ascii="Aptos" w:hAnsi="Aptos"/>
          <w:b/>
          <w:i w:val="0"/>
        </w:rPr>
        <w:t>The Organization Layer</w:t>
      </w:r>
    </w:p>
    <w:tbl>
      <w:tblPr>
        <w:tblStyle w:val="TableGrid"/>
        <w:tblW w:type="auto" w:w="0"/>
        <w:jc w:val="center"/>
        <w:tblLayout w:type="autofit"/>
        <w:tblLook w:firstColumn="1" w:firstRow="1" w:lastColumn="0" w:lastRow="0" w:noHBand="0" w:noVBand="1" w:val="04A0"/>
      </w:tblPr>
      <w:tblGrid>
        <w:gridCol w:w="2469"/>
        <w:gridCol w:w="2469"/>
        <w:gridCol w:w="2469"/>
        <w:gridCol w:w="2469"/>
      </w:tblGrid>
      <w:tr>
        <w:trPr>
          <w:cantSplit/>
          <w:tblHeader w:val="true"/>
        </w:trPr>
        <w:tc>
          <w:tcPr>
            <w:tcW w:type="dxa" w:w="2469"/>
            <w:vAlign w:val="top"/>
            <w:tcMar>
              <w:top w:w="70" w:type="dxa"/>
              <w:start w:w="90" w:type="dxa"/>
              <w:bottom w:w="70" w:type="dxa"/>
              <w:end w:w="90" w:type="dxa"/>
            </w:tcMar>
            <w:shd w:fill="E8E8E0"/>
          </w:tcPr>
          <w:p>
            <w:pPr>
              <w:spacing w:after="0" w:line="252" w:lineRule="auto"/>
            </w:pPr>
            <w:r>
              <w:rPr>
                <w:rFonts w:ascii="Aptos" w:hAnsi="Aptos"/>
                <w:b/>
                <w:i w:val="0"/>
                <w:sz w:val="17"/>
              </w:rPr>
              <w:t>Level</w:t>
            </w:r>
          </w:p>
        </w:tc>
        <w:tc>
          <w:tcPr>
            <w:tcW w:type="dxa" w:w="2469"/>
            <w:vAlign w:val="top"/>
            <w:tcMar>
              <w:top w:w="70" w:type="dxa"/>
              <w:start w:w="90" w:type="dxa"/>
              <w:bottom w:w="70" w:type="dxa"/>
              <w:end w:w="90" w:type="dxa"/>
            </w:tcMar>
            <w:shd w:fill="E8E8E0"/>
          </w:tcPr>
          <w:p>
            <w:pPr>
              <w:spacing w:after="0" w:line="252" w:lineRule="auto"/>
            </w:pPr>
            <w:r>
              <w:rPr>
                <w:rFonts w:ascii="Aptos" w:hAnsi="Aptos"/>
                <w:b/>
                <w:i w:val="0"/>
                <w:sz w:val="17"/>
              </w:rPr>
              <w:t>Declares</w:t>
            </w:r>
          </w:p>
        </w:tc>
        <w:tc>
          <w:tcPr>
            <w:tcW w:type="dxa" w:w="2469"/>
            <w:vAlign w:val="top"/>
            <w:tcMar>
              <w:top w:w="70" w:type="dxa"/>
              <w:start w:w="90" w:type="dxa"/>
              <w:bottom w:w="70" w:type="dxa"/>
              <w:end w:w="90" w:type="dxa"/>
            </w:tcMar>
            <w:shd w:fill="E8E8E0"/>
          </w:tcPr>
          <w:p>
            <w:pPr>
              <w:spacing w:after="0" w:line="252" w:lineRule="auto"/>
            </w:pPr>
            <w:r>
              <w:rPr>
                <w:rFonts w:ascii="Aptos" w:hAnsi="Aptos"/>
                <w:b/>
                <w:i w:val="0"/>
                <w:sz w:val="17"/>
              </w:rPr>
              <w:t>Owner</w:t>
            </w:r>
          </w:p>
        </w:tc>
        <w:tc>
          <w:tcPr>
            <w:tcW w:type="dxa" w:w="2469"/>
            <w:vAlign w:val="top"/>
            <w:tcMar>
              <w:top w:w="70" w:type="dxa"/>
              <w:start w:w="90" w:type="dxa"/>
              <w:bottom w:w="70" w:type="dxa"/>
              <w:end w:w="90" w:type="dxa"/>
            </w:tcMar>
            <w:shd w:fill="E8E8E0"/>
          </w:tcPr>
          <w:p>
            <w:pPr>
              <w:spacing w:after="0" w:line="252" w:lineRule="auto"/>
            </w:pPr>
            <w:r>
              <w:rPr>
                <w:rFonts w:ascii="Aptos" w:hAnsi="Aptos"/>
                <w:b/>
                <w:i w:val="0"/>
                <w:sz w:val="17"/>
              </w:rPr>
              <w:t>Signs</w:t>
            </w:r>
          </w:p>
        </w:tc>
      </w:tr>
      <w:tr>
        <w:trPr>
          <w:cantSplit/>
        </w:trPr>
        <w:tc>
          <w:tcPr>
            <w:tcW w:type="dxa" w:w="2469"/>
            <w:vAlign w:val="top"/>
            <w:tcMar>
              <w:top w:w="70" w:type="dxa"/>
              <w:start w:w="90" w:type="dxa"/>
              <w:bottom w:w="70" w:type="dxa"/>
              <w:end w:w="90" w:type="dxa"/>
            </w:tcMar>
            <w:shd w:fill="F7F7F2"/>
          </w:tcPr>
          <w:p>
            <w:pPr>
              <w:spacing w:after="0" w:line="252" w:lineRule="auto"/>
            </w:pPr>
            <w:r>
              <w:rPr>
                <w:rFonts w:ascii="Aptos" w:hAnsi="Aptos"/>
                <w:b w:val="0"/>
                <w:i w:val="0"/>
                <w:sz w:val="17"/>
              </w:rPr>
              <w:t>Organization (tenant)</w:t>
            </w:r>
          </w:p>
        </w:tc>
        <w:tc>
          <w:tcPr>
            <w:tcW w:type="dxa" w:w="2469"/>
            <w:vAlign w:val="top"/>
            <w:tcMar>
              <w:top w:w="70" w:type="dxa"/>
              <w:start w:w="90" w:type="dxa"/>
              <w:bottom w:w="70" w:type="dxa"/>
              <w:end w:w="90" w:type="dxa"/>
            </w:tcMar>
            <w:shd w:fill="F7F7F2"/>
          </w:tcPr>
          <w:p>
            <w:pPr>
              <w:spacing w:after="0" w:line="252" w:lineRule="auto"/>
            </w:pPr>
            <w:r>
              <w:rPr>
                <w:rFonts w:ascii="Aptos" w:hAnsi="Aptos"/>
                <w:b w:val="0"/>
                <w:i w:val="0"/>
                <w:sz w:val="17"/>
              </w:rPr>
              <w:t>identities, registered agents, gateway keys, budgets, default policies, kit</w:t>
            </w:r>
          </w:p>
        </w:tc>
        <w:tc>
          <w:tcPr>
            <w:tcW w:type="dxa" w:w="2469"/>
            <w:vAlign w:val="top"/>
            <w:tcMar>
              <w:top w:w="70" w:type="dxa"/>
              <w:start w:w="90" w:type="dxa"/>
              <w:bottom w:w="70" w:type="dxa"/>
              <w:end w:w="90" w:type="dxa"/>
            </w:tcMar>
            <w:shd w:fill="F7F7F2"/>
          </w:tcPr>
          <w:p>
            <w:pPr>
              <w:spacing w:after="0" w:line="252" w:lineRule="auto"/>
            </w:pPr>
            <w:r>
              <w:rPr>
                <w:rFonts w:ascii="Aptos" w:hAnsi="Aptos"/>
                <w:b w:val="0"/>
                <w:i w:val="0"/>
                <w:sz w:val="17"/>
              </w:rPr>
              <w:t>Org Admin</w:t>
            </w:r>
          </w:p>
        </w:tc>
        <w:tc>
          <w:tcPr>
            <w:tcW w:type="dxa" w:w="2469"/>
            <w:vAlign w:val="top"/>
            <w:tcMar>
              <w:top w:w="70" w:type="dxa"/>
              <w:start w:w="90" w:type="dxa"/>
              <w:bottom w:w="70" w:type="dxa"/>
              <w:end w:w="90" w:type="dxa"/>
            </w:tcMar>
            <w:shd w:fill="F7F7F2"/>
          </w:tcPr>
          <w:p>
            <w:pPr>
              <w:spacing w:after="0" w:line="252" w:lineRule="auto"/>
            </w:pPr>
            <w:r>
              <w:rPr>
                <w:rFonts w:ascii="Aptos" w:hAnsi="Aptos"/>
                <w:b w:val="0"/>
                <w:i w:val="0"/>
                <w:sz w:val="17"/>
              </w:rPr>
              <w:t>agent registration and revocation; policy defaults</w:t>
            </w:r>
          </w:p>
        </w:tc>
      </w:tr>
      <w:tr>
        <w:trPr>
          <w:cantSplit/>
        </w:trPr>
        <w:tc>
          <w:tcPr>
            <w:tcW w:type="dxa" w:w="2469"/>
            <w:vAlign w:val="top"/>
            <w:tcMar>
              <w:top w:w="70" w:type="dxa"/>
              <w:start w:w="90" w:type="dxa"/>
              <w:bottom w:w="70" w:type="dxa"/>
              <w:end w:w="90" w:type="dxa"/>
            </w:tcMar>
            <w:shd w:fill="FFFFFF"/>
          </w:tcPr>
          <w:p>
            <w:pPr>
              <w:spacing w:after="0" w:line="252" w:lineRule="auto"/>
            </w:pPr>
            <w:r>
              <w:rPr>
                <w:rFonts w:ascii="Aptos" w:hAnsi="Aptos"/>
                <w:b w:val="0"/>
                <w:i w:val="0"/>
                <w:sz w:val="17"/>
              </w:rPr>
              <w:t>Portfolio</w:t>
            </w:r>
          </w:p>
        </w:tc>
        <w:tc>
          <w:tcPr>
            <w:tcW w:type="dxa" w:w="2469"/>
            <w:vAlign w:val="top"/>
            <w:tcMar>
              <w:top w:w="70" w:type="dxa"/>
              <w:start w:w="90" w:type="dxa"/>
              <w:bottom w:w="70" w:type="dxa"/>
              <w:end w:w="90" w:type="dxa"/>
            </w:tcMar>
            <w:shd w:fill="FFFFFF"/>
          </w:tcPr>
          <w:p>
            <w:pPr>
              <w:spacing w:after="0" w:line="252" w:lineRule="auto"/>
            </w:pPr>
            <w:r>
              <w:rPr>
                <w:rFonts w:ascii="Aptos" w:hAnsi="Aptos"/>
                <w:b w:val="0"/>
                <w:i w:val="0"/>
                <w:sz w:val="17"/>
              </w:rPr>
              <w:t>mission briefs and pod membership</w:t>
            </w:r>
          </w:p>
        </w:tc>
        <w:tc>
          <w:tcPr>
            <w:tcW w:type="dxa" w:w="2469"/>
            <w:vAlign w:val="top"/>
            <w:tcMar>
              <w:top w:w="70" w:type="dxa"/>
              <w:start w:w="90" w:type="dxa"/>
              <w:bottom w:w="70" w:type="dxa"/>
              <w:end w:w="90" w:type="dxa"/>
            </w:tcMar>
            <w:shd w:fill="FFFFFF"/>
          </w:tcPr>
          <w:p>
            <w:pPr>
              <w:spacing w:after="0" w:line="252" w:lineRule="auto"/>
            </w:pPr>
            <w:r>
              <w:rPr>
                <w:rFonts w:ascii="Aptos" w:hAnsi="Aptos"/>
                <w:b w:val="0"/>
                <w:i w:val="0"/>
                <w:sz w:val="17"/>
              </w:rPr>
              <w:t>Portfolio Lead</w:t>
            </w:r>
          </w:p>
        </w:tc>
        <w:tc>
          <w:tcPr>
            <w:tcW w:type="dxa" w:w="2469"/>
            <w:vAlign w:val="top"/>
            <w:tcMar>
              <w:top w:w="70" w:type="dxa"/>
              <w:start w:w="90" w:type="dxa"/>
              <w:bottom w:w="70" w:type="dxa"/>
              <w:end w:w="90" w:type="dxa"/>
            </w:tcMar>
            <w:shd w:fill="FFFFFF"/>
          </w:tcPr>
          <w:p>
            <w:pPr>
              <w:spacing w:after="0" w:line="252" w:lineRule="auto"/>
            </w:pPr>
            <w:r>
              <w:rPr>
                <w:rFonts w:ascii="Aptos" w:hAnsi="Aptos"/>
                <w:b w:val="0"/>
                <w:i w:val="0"/>
                <w:sz w:val="17"/>
              </w:rPr>
              <w:t>mission briefs</w:t>
            </w:r>
          </w:p>
        </w:tc>
      </w:tr>
      <w:tr>
        <w:trPr>
          <w:cantSplit/>
        </w:trPr>
        <w:tc>
          <w:tcPr>
            <w:tcW w:type="dxa" w:w="2469"/>
            <w:vAlign w:val="top"/>
            <w:tcMar>
              <w:top w:w="70" w:type="dxa"/>
              <w:start w:w="90" w:type="dxa"/>
              <w:bottom w:w="70" w:type="dxa"/>
              <w:end w:w="90" w:type="dxa"/>
            </w:tcMar>
            <w:shd w:fill="F7F7F2"/>
          </w:tcPr>
          <w:p>
            <w:pPr>
              <w:spacing w:after="0" w:line="252" w:lineRule="auto"/>
            </w:pPr>
            <w:r>
              <w:rPr>
                <w:rFonts w:ascii="Aptos" w:hAnsi="Aptos"/>
                <w:b w:val="0"/>
                <w:i w:val="0"/>
                <w:sz w:val="17"/>
              </w:rPr>
              <w:t>Product</w:t>
            </w:r>
          </w:p>
        </w:tc>
        <w:tc>
          <w:tcPr>
            <w:tcW w:type="dxa" w:w="2469"/>
            <w:vAlign w:val="top"/>
            <w:tcMar>
              <w:top w:w="70" w:type="dxa"/>
              <w:start w:w="90" w:type="dxa"/>
              <w:bottom w:w="70" w:type="dxa"/>
              <w:end w:w="90" w:type="dxa"/>
            </w:tcMar>
            <w:shd w:fill="F7F7F2"/>
          </w:tcPr>
          <w:p>
            <w:pPr>
              <w:spacing w:after="0" w:line="252" w:lineRule="auto"/>
            </w:pPr>
            <w:r>
              <w:rPr>
                <w:rFonts w:ascii="Aptos" w:hAnsi="Aptos"/>
                <w:b w:val="0"/>
                <w:i w:val="0"/>
                <w:sz w:val="17"/>
              </w:rPr>
              <w:t>product brief, stack profile, interface contracts, shared libraries, repositories</w:t>
            </w:r>
          </w:p>
        </w:tc>
        <w:tc>
          <w:tcPr>
            <w:tcW w:type="dxa" w:w="2469"/>
            <w:vAlign w:val="top"/>
            <w:tcMar>
              <w:top w:w="70" w:type="dxa"/>
              <w:start w:w="90" w:type="dxa"/>
              <w:bottom w:w="70" w:type="dxa"/>
              <w:end w:w="90" w:type="dxa"/>
            </w:tcMar>
            <w:shd w:fill="F7F7F2"/>
          </w:tcPr>
          <w:p>
            <w:pPr>
              <w:spacing w:after="0" w:line="252" w:lineRule="auto"/>
            </w:pPr>
            <w:r>
              <w:rPr>
                <w:rFonts w:ascii="Aptos" w:hAnsi="Aptos"/>
                <w:b w:val="0"/>
                <w:i w:val="0"/>
                <w:sz w:val="17"/>
              </w:rPr>
              <w:t>Product Steward when multiple pods share the product; otherwise the Product Lead</w:t>
            </w:r>
          </w:p>
        </w:tc>
        <w:tc>
          <w:tcPr>
            <w:tcW w:type="dxa" w:w="2469"/>
            <w:vAlign w:val="top"/>
            <w:tcMar>
              <w:top w:w="70" w:type="dxa"/>
              <w:start w:w="90" w:type="dxa"/>
              <w:bottom w:w="70" w:type="dxa"/>
              <w:end w:w="90" w:type="dxa"/>
            </w:tcMar>
            <w:shd w:fill="F7F7F2"/>
          </w:tcPr>
          <w:p>
            <w:pPr>
              <w:spacing w:after="0" w:line="252" w:lineRule="auto"/>
            </w:pPr>
            <w:r>
              <w:rPr>
                <w:rFonts w:ascii="Aptos" w:hAnsi="Aptos"/>
                <w:b w:val="0"/>
                <w:i w:val="0"/>
                <w:sz w:val="17"/>
              </w:rPr>
              <w:t>product brief and contracts</w:t>
            </w:r>
          </w:p>
        </w:tc>
      </w:tr>
      <w:tr>
        <w:trPr>
          <w:cantSplit/>
        </w:trPr>
        <w:tc>
          <w:tcPr>
            <w:tcW w:type="dxa" w:w="2469"/>
            <w:vAlign w:val="top"/>
            <w:tcMar>
              <w:top w:w="70" w:type="dxa"/>
              <w:start w:w="90" w:type="dxa"/>
              <w:bottom w:w="70" w:type="dxa"/>
              <w:end w:w="90" w:type="dxa"/>
            </w:tcMar>
            <w:shd w:fill="FFFFFF"/>
          </w:tcPr>
          <w:p>
            <w:pPr>
              <w:spacing w:after="0" w:line="252" w:lineRule="auto"/>
            </w:pPr>
            <w:r>
              <w:rPr>
                <w:rFonts w:ascii="Aptos" w:hAnsi="Aptos"/>
                <w:b w:val="0"/>
                <w:i w:val="0"/>
                <w:sz w:val="17"/>
              </w:rPr>
              <w:t>Pod</w:t>
            </w:r>
          </w:p>
        </w:tc>
        <w:tc>
          <w:tcPr>
            <w:tcW w:type="dxa" w:w="2469"/>
            <w:vAlign w:val="top"/>
            <w:tcMar>
              <w:top w:w="70" w:type="dxa"/>
              <w:start w:w="90" w:type="dxa"/>
              <w:bottom w:w="70" w:type="dxa"/>
              <w:end w:w="90" w:type="dxa"/>
            </w:tcMar>
            <w:shd w:fill="FFFFFF"/>
          </w:tcPr>
          <w:p>
            <w:pPr>
              <w:spacing w:after="0" w:line="252" w:lineRule="auto"/>
            </w:pPr>
            <w:r>
              <w:rPr>
                <w:rFonts w:ascii="Aptos" w:hAnsi="Aptos"/>
                <w:b w:val="0"/>
                <w:i w:val="0"/>
                <w:sz w:val="17"/>
              </w:rPr>
              <w:t>accountabilities, fleet, Flight Board, gates, metrics</w:t>
            </w:r>
          </w:p>
        </w:tc>
        <w:tc>
          <w:tcPr>
            <w:tcW w:type="dxa" w:w="2469"/>
            <w:vAlign w:val="top"/>
            <w:tcMar>
              <w:top w:w="70" w:type="dxa"/>
              <w:start w:w="90" w:type="dxa"/>
              <w:bottom w:w="70" w:type="dxa"/>
              <w:end w:w="90" w:type="dxa"/>
            </w:tcMar>
            <w:shd w:fill="FFFFFF"/>
          </w:tcPr>
          <w:p>
            <w:pPr>
              <w:spacing w:after="0" w:line="252" w:lineRule="auto"/>
            </w:pPr>
            <w:r>
              <w:rPr>
                <w:rFonts w:ascii="Aptos" w:hAnsi="Aptos"/>
                <w:b w:val="0"/>
                <w:i w:val="0"/>
                <w:sz w:val="17"/>
              </w:rPr>
              <w:t>four pod accountabilities</w:t>
            </w:r>
          </w:p>
        </w:tc>
        <w:tc>
          <w:tcPr>
            <w:tcW w:type="dxa" w:w="2469"/>
            <w:vAlign w:val="top"/>
            <w:tcMar>
              <w:top w:w="70" w:type="dxa"/>
              <w:start w:w="90" w:type="dxa"/>
              <w:bottom w:w="70" w:type="dxa"/>
              <w:end w:w="90" w:type="dxa"/>
            </w:tcMar>
            <w:shd w:fill="FFFFFF"/>
          </w:tcPr>
          <w:p>
            <w:pPr>
              <w:spacing w:after="0" w:line="252" w:lineRule="auto"/>
            </w:pPr>
            <w:r>
              <w:rPr>
                <w:rFonts w:ascii="Aptos" w:hAnsi="Aptos"/>
                <w:b w:val="0"/>
                <w:i w:val="0"/>
                <w:sz w:val="17"/>
              </w:rPr>
              <w:t>Gates 1, 2, 3</w:t>
            </w:r>
          </w:p>
        </w:tc>
      </w:tr>
      <w:tr>
        <w:trPr>
          <w:cantSplit/>
        </w:trPr>
        <w:tc>
          <w:tcPr>
            <w:tcW w:type="dxa" w:w="2469"/>
            <w:vAlign w:val="top"/>
            <w:tcMar>
              <w:top w:w="70" w:type="dxa"/>
              <w:start w:w="90" w:type="dxa"/>
              <w:bottom w:w="70" w:type="dxa"/>
              <w:end w:w="90" w:type="dxa"/>
            </w:tcMar>
            <w:shd w:fill="F7F7F2"/>
          </w:tcPr>
          <w:p>
            <w:r>
              <w:t>Domain-assurance pool</w:t>
            </w:r>
          </w:p>
        </w:tc>
        <w:tc>
          <w:tcPr>
            <w:tcW w:type="dxa" w:w="2469"/>
            <w:vAlign w:val="top"/>
            <w:tcMar>
              <w:top w:w="70" w:type="dxa"/>
              <w:start w:w="90" w:type="dxa"/>
              <w:bottom w:w="70" w:type="dxa"/>
              <w:end w:w="90" w:type="dxa"/>
            </w:tcMar>
            <w:shd w:fill="F7F7F2"/>
          </w:tcPr>
          <w:p>
            <w:r>
              <w:t>independent domain-review agents, human exception owners, and SLAs</w:t>
            </w:r>
          </w:p>
        </w:tc>
        <w:tc>
          <w:tcPr>
            <w:tcW w:type="dxa" w:w="2469"/>
            <w:vAlign w:val="top"/>
            <w:tcMar>
              <w:top w:w="70" w:type="dxa"/>
              <w:start w:w="90" w:type="dxa"/>
              <w:bottom w:w="70" w:type="dxa"/>
              <w:end w:w="90" w:type="dxa"/>
            </w:tcMar>
            <w:shd w:fill="F7F7F2"/>
          </w:tcPr>
          <w:p>
            <w:r>
              <w:t>Tech Lead for consolidation; each human specialist for escalated exceptions</w:t>
            </w:r>
          </w:p>
        </w:tc>
        <w:tc>
          <w:tcPr>
            <w:tcW w:type="dxa" w:w="2469"/>
            <w:vAlign w:val="top"/>
            <w:tcMar>
              <w:top w:w="70" w:type="dxa"/>
              <w:start w:w="90" w:type="dxa"/>
              <w:bottom w:w="70" w:type="dxa"/>
              <w:end w:w="90" w:type="dxa"/>
            </w:tcMar>
            <w:shd w:fill="F7F7F2"/>
          </w:tcPr>
          <w:p>
            <w:r>
              <w:t>agent review for every activated domain; conditional human seat</w:t>
            </w:r>
          </w:p>
        </w:tc>
      </w:tr>
    </w:tbl>
    <w:p>
      <w:pPr>
        <w:keepLines/>
        <w:spacing w:after="0"/>
      </w:pPr>
    </w:p>
    <w:p>
      <w:pPr>
        <w:keepLines/>
      </w:pPr>
      <w:r>
        <w:t>Each level is declared in versioned files and projected. Agents are registered identities issued and revoked by the Org Admin, scoped to the organization, and assigned like humans. In solo mode one person may hold every core accountable hat. A specialist hat appears only for a triggered exception, and only when the person is qualified for that domain; onboarding proposes the assignments and the human confirms once.</w:t>
      </w:r>
    </w:p>
    <w:p>
      <w:pPr>
        <w:pStyle w:val="Heading1"/>
        <w:keepNext/>
        <w:keepLines/>
        <w:pBdr>
          <w:bottom w:val="single" w:color="2F4BD0" w:sz="10" w:space="5"/>
        </w:pBdr>
      </w:pPr>
      <w:r>
        <w:rPr>
          <w:rFonts w:ascii="Aptos" w:hAnsi="Aptos"/>
          <w:b/>
          <w:i w:val="0"/>
        </w:rPr>
        <w:t>Repository Topology</w:t>
      </w:r>
    </w:p>
    <w:p>
      <w:pPr>
        <w:keepLines/>
      </w:pPr>
      <w:r>
        <w:rPr>
          <w:rFonts w:ascii="Aptos" w:hAnsi="Aptos"/>
          <w:b w:val="0"/>
          <w:i w:val="0"/>
        </w:rPr>
        <w:t>An organization has one operating repository holding ORG.md, portfolio, product and pod declarations, policies, and the kit, plus any number of product repositories. An item's chain lives in its product's designated home repository, co-located with the code. A multi-repository product names one home. Organization-wide inheritance is declared in the operating repository.</w:t>
      </w:r>
    </w:p>
    <w:p>
      <w:pPr>
        <w:pStyle w:val="Heading1"/>
        <w:keepNext/>
        <w:keepLines/>
        <w:pBdr>
          <w:bottom w:val="single" w:color="2F4BD0" w:sz="10" w:space="5"/>
        </w:pBdr>
      </w:pPr>
      <w:r>
        <w:rPr>
          <w:rFonts w:ascii="Aptos" w:hAnsi="Aptos"/>
          <w:b/>
          <w:i w:val="0"/>
        </w:rPr>
        <w:t>Inheritance and Capacity</w:t>
      </w:r>
    </w:p>
    <w:p>
      <w:pPr>
        <w:keepLines/>
      </w:pPr>
      <w:r>
        <w:rPr>
          <w:rFonts w:ascii="Aptos" w:hAnsi="Aptos"/>
          <w:b w:val="0"/>
          <w:i w:val="0"/>
        </w:rPr>
        <w:t>Fleet configuration, guardrails, gate policy, bands, and culture inherit organization → product → pod. Overrides are versioned and eval-gated; a lower level cannot weaken a default-closed domain established above it.</w:t>
      </w:r>
    </w:p>
    <w:p>
      <w:pPr>
        <w:keepLines/>
      </w:pPr>
      <w:r>
        <w:t>WIP protects a human rather than a pod. Limits roll up per person across every pod and hat, and the platform refuses pulls that exceed the personal attention budget. Domain-agent and human-escalation SLAs span pods.</w:t>
      </w:r>
    </w:p>
    <w:p>
      <w:pPr>
        <w:pStyle w:val="Heading1"/>
      </w:pPr>
      <w:r>
        <w:t>Agent-First Domain Assurance</w:t>
      </w:r>
    </w:p>
    <w:p>
      <w:pPr/>
      <w:r>
        <w:t>Every activated default-closed domain receives a fresh-context review from a domain agent that is independent of the Builder. Each record names the domain, reviewer identity and configuration, exact artifact and implementation revisions, reviewed cases, evidence hashes, disposition, confidence, and findings. The platform rejects stale, missing, self-reviewed, or inconclusive records. It then combines the current records into one exception brief rather than asking a human to repeat seven machine reviews.</w:t>
      </w:r>
    </w:p>
    <w:p>
      <w:pPr/>
      <w:r>
        <w:t>In commercial mode the Tech Lead owns the Gate 2 decision over that consolidated brief. A human domain specialist is routed only when at least one deterministic trigger is present: an unresolved blocker or major finding; missing or inconclusive required evidence; a requested waiver or policy override; a law, regulation, contract, or organizational policy that requires specialist review; a material rights impact or irreversible external effect; manual accessibility validation for a user-facing release; or production, paid-deployment, or spend authorization. An agent may recommend escalation but cannot suppress a trigger, waive a control, or sign for the human.</w:t>
      </w:r>
    </w:p>
    <w:p>
      <w:pPr/>
      <w:r>
        <w:t>Regulated default-closed work keeps a human specialist for every activated domain and at least two distinct human signers. Configuration may strengthen these rules but may not weaken them. All modes preserve the same accountability floor: agents investigate, test, challenge, and summarize; humans decide intent, accept consequential residual risk, and authorize external effects.</w:t>
      </w:r>
    </w:p>
    <w:p>
      <w:pPr>
        <w:pStyle w:val="Heading1"/>
        <w:keepNext/>
        <w:keepLines/>
        <w:pBdr>
          <w:bottom w:val="single" w:color="2F4BD0" w:sz="10" w:space="5"/>
        </w:pBdr>
      </w:pPr>
      <w:r>
        <w:rPr>
          <w:rFonts w:ascii="Aptos" w:hAnsi="Aptos"/>
          <w:b/>
          <w:i w:val="0"/>
        </w:rPr>
        <w:t>Signatures When People Are Few</w:t>
      </w:r>
    </w:p>
    <w:p>
      <w:pPr>
        <w:keepLines/>
      </w:pPr>
      <w:r>
        <w:t>Commercial default-open work requires one human and a passing fresh-context Critic. Commercial default-closed work requires current green independent domain-agent reviews, one consolidated exception brief, one accountable human at the gate, a fresh-context Critic with zero unresolved findings, and a Gate 3 second look in a session separate from Gate 2 after the build Critic report. Human specialists join only on the defined escalation triggers. Regulated default-closed work requires human specialist review for every activated domain and two distinct human signers. A solo regulated operator therefore needs a second human before release, and onboarding states that constraint before the first gate.</w:t>
      </w:r>
    </w:p>
    <w:p>
      <w:pPr>
        <w:pStyle w:val="Heading1"/>
        <w:keepNext/>
        <w:keepLines/>
        <w:pBdr>
          <w:bottom w:val="single" w:color="2F4BD0" w:sz="10" w:space="5"/>
        </w:pBdr>
      </w:pPr>
      <w:r>
        <w:rPr>
          <w:rFonts w:ascii="Aptos" w:hAnsi="Aptos"/>
          <w:b/>
          <w:i w:val="0"/>
        </w:rPr>
        <w:t>Products, Stack Packs, and Readiness</w:t>
      </w:r>
    </w:p>
    <w:p>
      <w:pPr>
        <w:keepLines/>
      </w:pPr>
      <w:r>
        <w:rPr>
          <w:rFonts w:ascii="Aptos" w:hAnsi="Aptos"/>
          <w:b w:val="0"/>
          <w:i w:val="0"/>
        </w:rPr>
        <w:t>Every product starts with a product brief: what it is, whose problem, the mission it serves, and its stack profile. Intents attach to a product. The stack profile selects a Stack Pack containing the Builder runtime binding, language guardrails, exam templates, release-rails adapter, and starter context. The platform agent recommends a pack; the human confirms.</w:t>
      </w:r>
    </w:p>
    <w:p>
      <w:pPr>
        <w:keepLines/>
      </w:pPr>
      <w:r>
        <w:rPr>
          <w:rFonts w:ascii="Aptos" w:hAnsi="Aptos"/>
          <w:b w:val="0"/>
          <w:i w:val="0"/>
        </w:rPr>
        <w:t>Connecting an existing repository triggers an agent-readiness scan across tests, seams, secrets hygiene, CI, and telemetry. Findings become drafted on-ramp briefs in the backlog.</w:t>
      </w:r>
    </w:p>
    <w:p>
      <w:pPr>
        <w:pStyle w:val="Heading1"/>
        <w:keepNext/>
        <w:keepLines/>
        <w:pBdr>
          <w:bottom w:val="single" w:color="2F4BD0" w:sz="10" w:space="5"/>
        </w:pBdr>
      </w:pPr>
      <w:r>
        <w:rPr>
          <w:rFonts w:ascii="Aptos" w:hAnsi="Aptos"/>
          <w:b/>
          <w:i w:val="0"/>
        </w:rPr>
        <w:t>Day One</w:t>
      </w:r>
    </w:p>
    <w:p>
      <w:pPr>
        <w:keepLines/>
      </w:pPr>
      <w:r>
        <w:rPr>
          <w:rFonts w:ascii="Aptos" w:hAnsi="Aptos"/>
          <w:b w:val="0"/>
          <w:i w:val="0"/>
        </w:rPr>
        <w:t>A greenfield product may use leading indicators until production telemetry exists, and the measurable badge renders a distinct greenfield state. Trust bootstraps from default policy: low-risk domains are default-open; named high-risk domains are default-closed. Until a mission brief is signed, mission fit renders as unscored and never blocks a pull.</w:t>
      </w:r>
    </w:p>
    <w:p>
      <w:pPr>
        <w:pStyle w:val="Heading1"/>
        <w:keepNext/>
        <w:keepLines/>
        <w:pBdr>
          <w:bottom w:val="single" w:color="2F4BD0" w:sz="10" w:space="5"/>
        </w:pBdr>
      </w:pPr>
      <w:r>
        <w:rPr>
          <w:rFonts w:ascii="Aptos" w:hAnsi="Aptos"/>
          <w:b/>
          <w:i w:val="0"/>
        </w:rPr>
        <w:t>Handover and Isolation</w:t>
      </w:r>
    </w:p>
    <w:p>
      <w:pPr>
        <w:keepLines/>
      </w:pPr>
      <w:r>
        <w:rPr>
          <w:rFonts w:ascii="Aptos" w:hAnsi="Aptos"/>
          <w:b w:val="0"/>
          <w:i w:val="0"/>
        </w:rPr>
        <w:t>An accountability transfer is a recorded event: open gates re-render to the new signer and past signatures remain attributed. Memory, gateway keys, sandboxes, and evidence are tenant-scoped; agent identities cannot act outside the organization that issued them.</w:t>
      </w:r>
    </w:p>
    <w:p>
      <w:pPr>
        <w:pStyle w:val="Heading1"/>
        <w:keepNext/>
        <w:keepLines/>
        <w:pBdr>
          <w:bottom w:val="single" w:color="2F4BD0" w:sz="10" w:space="5"/>
        </w:pBdr>
      </w:pPr>
      <w:r>
        <w:rPr>
          <w:rFonts w:ascii="Aptos" w:hAnsi="Aptos"/>
          <w:b/>
          <w:i w:val="0"/>
        </w:rPr>
        <w:t>Agent-First First Run</w:t>
      </w:r>
    </w:p>
    <w:p>
      <w:pPr>
        <w:keepLines/>
      </w:pPr>
      <w:r>
        <w:t>A new user tells the platform agent what they are building. The agent asks whether the operation is solo or team-based, existing or greenfield, and commercial or regulated. It then proposes the organization, portfolio, product, pod, core hats, domain-review agents, human exception owners, Stack Pack, repositories, readiness briefs, product brief, mission brief, and first intents. The human reads one summary, corrects it, and signs once. From then on the loop is talk, correct, sign.</w:t>
      </w:r>
    </w:p>
    <w:p>
      <w:pPr>
        <w:pStyle w:val="Heading1"/>
        <w:keepNext/>
        <w:keepLines/>
        <w:pBdr>
          <w:bottom w:val="single" w:color="2F4BD0" w:sz="10" w:space="5"/>
        </w:pBdr>
      </w:pPr>
      <w:r>
        <w:rPr>
          <w:rFonts w:ascii="Aptos" w:hAnsi="Aptos"/>
          <w:b/>
          <w:i w:val="0"/>
        </w:rPr>
        <w:t>Trust-Metered Autonomy</w:t>
      </w:r>
    </w:p>
    <w:p>
      <w:pPr>
        <w:keepLines/>
      </w:pPr>
      <w:r>
        <w:rPr>
          <w:rFonts w:ascii="Aptos" w:hAnsi="Aptos"/>
          <w:b w:val="0"/>
          <w:i w:val="0"/>
        </w:rPr>
        <w:t>Autonomy is a policy, not a mood. Gates tier by risk domain and by environment (development freely, staging in the middle, production behind a named authorization), and the tiering moves on evidence: first-pass verification rate and escaped defects form a measured track record per domain, environment, and agent role. As the record strengthens, default-open expands, signer counts drop, and human judgment concentrates on fewer, higher-consequence decisions. Model updates reset the relevant record; versions are pinned and the fleet re-validated on change. The floor is accountability: regulators, courts, and contracts bind humans, so someone always signs. This is also the model's answer to its own obsolescence: it meters improving AI at the rate trust is earned, so it strengthens rather than expires.</w:t>
      </w:r>
    </w:p>
    <w:p>
      <w:pPr>
        <w:pStyle w:val="Heading1"/>
        <w:keepNext/>
        <w:keepLines/>
        <w:pBdr>
          <w:bottom w:val="single" w:color="2F4BD0" w:sz="10" w:space="5"/>
        </w:pBdr>
      </w:pPr>
      <w:r>
        <w:rPr>
          <w:rFonts w:ascii="Aptos" w:hAnsi="Aptos"/>
          <w:b/>
          <w:i w:val="0"/>
        </w:rPr>
        <w:t>Culture: The Human Channel</w:t>
      </w:r>
    </w:p>
    <w:p>
      <w:pPr>
        <w:keepLines/>
      </w:pPr>
      <w:r>
        <w:rPr>
          <w:rFonts w:ascii="Aptos" w:hAnsi="Aptos"/>
          <w:b w:val="0"/>
          <w:i w:val="0"/>
        </w:rPr>
        <w:t>The model needs humans for judgment, dissent, and accountability, and it protects the channel that carries them in writing, because unwritten culture erodes at machine speed. Four commitments, shipped as a versioned culture file: two rooms by design (work rooms with agents are signed and on the record; every pod keeps a human-only room and one protected synchronous ritual; decisions on the record, doubts welcome off it); blameless by construction (the log audits artifacts and decisions, never individual fallibility, and no gate signature is ever used against its signer when the process was followed); cohesion as scheduled work (the huddle and the learning review are the team's social fabric, and the Product Lead's load is a named risk); and learning in public (judgment happens in shared rooms, which is how the next generation of decision owners grows).</w:t>
      </w:r>
    </w:p>
    <w:p>
      <w:pPr>
        <w:pStyle w:val="Heading1"/>
        <w:keepNext/>
        <w:keepLines/>
        <w:pBdr>
          <w:bottom w:val="single" w:color="2F4BD0" w:sz="10" w:space="5"/>
        </w:pBdr>
      </w:pPr>
      <w:r>
        <w:rPr>
          <w:rFonts w:ascii="Aptos" w:hAnsi="Aptos"/>
          <w:b/>
          <w:i w:val="0"/>
        </w:rPr>
        <w:t>Scale: Two Speeds</w:t>
      </w:r>
    </w:p>
    <w:p>
      <w:pPr>
        <w:keepLines/>
      </w:pPr>
      <w:r>
        <w:rPr>
          <w:rFonts w:ascii="Aptos" w:hAnsi="Aptos"/>
          <w:b w:val="0"/>
          <w:i w:val="0"/>
        </w:rPr>
        <w:t>Business alignment happens at discussion speed; delivery runs at machine speed, and the two are deliberately decoupled. The portfolio issues quarterly mission briefs per pod, naming outcomes to move and guardrails to hold, and manages no items. Each pod is a complete STEER loop: four accountabilities, a fleet, a Flight Board, gates, and metrics. Versioned interface contracts protect the seams between pods; shared libraries carry design systems, guardrails, and agent patterns; a platform pod treats the agent platform as a product. There is no lead pod: pods grow by cell division, copying the operating system faithfully.</w:t>
      </w:r>
    </w:p>
    <w:p>
      <w:pPr>
        <w:keepLines/>
        <w:jc w:val="center"/>
      </w:pPr>
      <w:r>
        <w:rPr>
          <w:rFonts w:ascii="Aptos" w:hAnsi="Aptos"/>
          <w:b w:val="0"/>
          <w:i/>
          <w:color w:val="6B6B6B"/>
        </w:rPr>
        <w:t>The portfolio aligns quarterly; pods deliver continuously behind interface contracts.</w:t>
      </w:r>
    </w:p>
    <w:p>
      <w:pPr>
        <w:keepLines/>
        <w:jc w:val="center"/>
      </w:pPr>
      <w:r>
        <w:drawing>
          <wp:inline xmlns:a="http://schemas.openxmlformats.org/drawingml/2006/main" xmlns:pic="http://schemas.openxmlformats.org/drawingml/2006/picture">
            <wp:extent cx="4800600" cy="1988763"/>
            <wp:docPr id="1" name="Figure 1" title="Figure 1" descr="Portfolio-to-pod operating model showing human-speed alignment above three pods that deliver at machine speed through interface contracts."/>
            <wp:cNvGraphicFramePr>
              <a:graphicFrameLocks noChangeAspect="1"/>
            </wp:cNvGraphicFramePr>
            <a:graphic>
              <a:graphicData uri="http://schemas.openxmlformats.org/drawingml/2006/picture">
                <pic:pic>
                  <pic:nvPicPr>
                    <pic:cNvPr id="0" name="portfolio.png"/>
                    <pic:cNvPicPr/>
                  </pic:nvPicPr>
                  <pic:blipFill>
                    <a:blip r:embed="rId9"/>
                    <a:stretch>
                      <a:fillRect/>
                    </a:stretch>
                  </pic:blipFill>
                  <pic:spPr>
                    <a:xfrm>
                      <a:off x="0" y="0"/>
                      <a:ext cx="4800600" cy="1988763"/>
                    </a:xfrm>
                    <a:prstGeom prst="rect"/>
                  </pic:spPr>
                </pic:pic>
              </a:graphicData>
            </a:graphic>
          </wp:inline>
        </w:drawing>
      </w:r>
    </w:p>
    <w:p>
      <w:pPr>
        <w:pStyle w:val="Heading1"/>
        <w:keepNext/>
        <w:keepLines/>
        <w:pBdr>
          <w:bottom w:val="single" w:color="2F4BD0" w:sz="10" w:space="5"/>
        </w:pBdr>
      </w:pPr>
      <w:r>
        <w:rPr>
          <w:rFonts w:ascii="Aptos" w:hAnsi="Aptos"/>
          <w:b/>
          <w:i w:val="0"/>
        </w:rPr>
        <w:t>Portability and Governance</w:t>
      </w:r>
    </w:p>
    <w:p>
      <w:pPr>
        <w:keepLines/>
      </w:pPr>
      <w:r>
        <w:rPr>
          <w:rFonts w:ascii="Aptos" w:hAnsi="Aptos"/>
          <w:b w:val="0"/>
          <w:i w:val="0"/>
        </w:rPr>
        <w:t>The model is vendor-neutral by construction: any capable model, any agent runtime, any code host, with every pick a binding behind a seam. Agent roles are hats on runtime primitives (interactive sessions, scoped subagents, non-interactive CI jobs), not separate products. In regulated environments one seam is mandatory: a managed, non-overridable policy layer (permissions, sandboxing, gate hooks) owned by the platform team. Governance is native rather than bolted on: the artifact chain is the audit record, and the mechanics map onto NIST AI RMF (gates and eval-gated change control implement Govern; briefs and outcome contracts, Map; the exam and paired metrics, Measure; guardrails, bands, and the learning review, Manage), giving ISO/IEC 42001 auditors a management system they can walk through. The Gate 3 signer owns the ship decision, and the fleet itself is treated as an attack surface: scoped credentials, sandboxed execution, dependency scrutiny, and model pinning with re-validation on change.</w:t>
      </w:r>
    </w:p>
    <w:p>
      <w:pPr>
        <w:pStyle w:val="Heading1"/>
        <w:keepNext/>
        <w:keepLines/>
        <w:pBdr>
          <w:bottom w:val="single" w:color="2F4BD0" w:sz="10" w:space="5"/>
        </w:pBdr>
      </w:pPr>
      <w:r>
        <w:rPr>
          <w:rFonts w:ascii="Aptos" w:hAnsi="Aptos"/>
          <w:b/>
          <w:i w:val="0"/>
        </w:rPr>
        <w:t>Providing Intent</w:t>
      </w:r>
    </w:p>
    <w:p>
      <w:pPr>
        <w:keepLines/>
      </w:pPr>
      <w:r>
        <w:rPr>
          <w:rFonts w:ascii="Aptos" w:hAnsi="Aptos"/>
          <w:b w:val="0"/>
          <w:i w:val="0"/>
        </w:rPr>
        <w:t>Originators provide judgment, not document labor. They begin with natural language in whatever form they have, and an intake agent interviews backward from the brief template. The agent provides structure; the human provides truth. The originator corrects a rendered draft in plain language and never needs to see Git, Markdown, or the underlying template. Where D1 is adopted and its controls are verified, preserving a private draft acknowledges an encrypted recoverable revision; it is not a Git commit. Explicit publication commits only the human-confirmed candidate documents under the applicable verified authority.</w:t>
      </w:r>
    </w:p>
    <w:p>
      <w:pPr>
        <w:keepLines/>
      </w:pPr>
      <w:r>
        <w:rPr>
          <w:rFonts w:ascii="Aptos" w:hAnsi="Aptos"/>
          <w:b w:val="0"/>
          <w:i w:val="0"/>
        </w:rPr>
        <w:t>Four rules govern the interaction: interview rather than form; never invent missing facts; surface ambiguity as an open question; and promote a repeated human correction into versioned context after the second occurrence. System names must resolve against real organizational context. A plausible but unverified detail is a drafting defect, not helpful completion.</w:t>
      </w:r>
    </w:p>
    <w:p>
      <w:pPr>
        <w:keepLines/>
      </w:pPr>
      <w:r>
        <w:rPr>
          <w:rFonts w:ascii="Aptos" w:hAnsi="Aptos"/>
          <w:b w:val="0"/>
          <w:i w:val="0"/>
        </w:rPr>
        <w:t>The same division of labor continues through the chain. The brief is an interview, the spec is a dialogue over two or three options and trade-offs, the exam presents machine-checkable cases as meaning for a human to judge, and the plan is interrogated conversationally before dispatch. Every entry point normalizes into one intent home, while humans retain every consequential choice and signature. See STEER Practice Note 2, Providing Intent, for the complete interaction model.</w:t>
      </w:r>
    </w:p>
    <w:p>
      <w:pPr>
        <w:pStyle w:val="Heading1"/>
        <w:keepNext/>
        <w:keepLines/>
        <w:pBdr>
          <w:bottom w:val="single" w:color="2F4BD0" w:sz="10" w:space="5"/>
        </w:pBdr>
      </w:pPr>
      <w:r>
        <w:rPr>
          <w:rFonts w:ascii="Aptos" w:hAnsi="Aptos"/>
          <w:b/>
          <w:i w:val="0"/>
        </w:rPr>
        <w:t>Protected Attention: The Three Surfaces</w:t>
      </w:r>
    </w:p>
    <w:p>
      <w:pPr>
        <w:keepLines/>
      </w:pPr>
      <w:r>
        <w:rPr>
          <w:rFonts w:ascii="Aptos" w:hAnsi="Aptos"/>
          <w:b w:val="0"/>
          <w:i w:val="0"/>
        </w:rPr>
        <w:t>An intent is a candidate; a work item is an intent the Product Lead has pulled into flight. The pull is the commitment boundary. Machine-speed intake may draft many candidates, but only a human pull may spend scarce framing capacity, and the visible WIP limit can refuse that pull.</w:t>
      </w:r>
    </w:p>
    <w:p>
      <w:pPr>
        <w:keepLines/>
      </w:pPr>
      <w:r>
        <w:rPr>
          <w:rFonts w:ascii="Aptos" w:hAnsi="Aptos"/>
          <w:b w:val="0"/>
          <w:i w:val="0"/>
        </w:rPr>
        <w:t>The role home protects attention in a fixed order: decision inbox first, candidates only on a pull trigger, and work in flight as an ambient projection. Flight creates no progress notifications; only a breached aging band calls for a huddle. Declines retain a reason, untouched candidates expire without deletion, and mission fit informs rather than decides.</w:t>
      </w:r>
    </w:p>
    <w:p>
      <w:pPr>
        <w:keepLines/>
      </w:pPr>
      <w:r>
        <w:rPr>
          <w:rFonts w:ascii="Aptos" w:hAnsi="Aptos"/>
          <w:b w:val="0"/>
          <w:i w:val="0"/>
        </w:rPr>
        <w:t>Every accountability receives the same three-surface shape with role-specific content. Roles remain lenses on one artifact-chain truth. See STEER Practice Note 3, The Three Surfaces, for the complete daily operating and platform-design guidance.</w:t>
      </w:r>
    </w:p>
    <w:p>
      <w:pPr>
        <w:pStyle w:val="Heading1"/>
        <w:keepNext/>
        <w:keepLines/>
        <w:pBdr>
          <w:bottom w:val="single" w:color="2F4BD0" w:sz="10" w:space="5"/>
        </w:pBdr>
      </w:pPr>
      <w:r>
        <w:rPr>
          <w:rFonts w:ascii="Aptos" w:hAnsi="Aptos"/>
          <w:b/>
          <w:i w:val="0"/>
        </w:rPr>
        <w:t>Adoption</w:t>
      </w:r>
    </w:p>
    <w:p>
      <w:pPr>
        <w:keepLines/>
      </w:pPr>
      <w:r>
        <w:rPr>
          <w:rFonts w:ascii="Aptos" w:hAnsi="Aptos"/>
          <w:b w:val="0"/>
          <w:i w:val="0"/>
        </w:rPr>
        <w:t>Start with one pod and a strict pilot posture: ten to twenty real items through the loop, metrics recorded from item one, before any broad claim. Adopt plays in dependency order, not stage order: the intent home and context files first, the exam and feedback loop next, review and gates before any automation, and the self-feeding loop last, because automation must never accelerate work through a gate that does not yet exist. Legacy systems enter through an agent-ready on-ramp (characterization tests, seams, guardrails, telemetry) run as its own sequence of briefs, and where an existing tool already holds a record, one system is named the source of truth per artifact and the other links to it.</w:t>
      </w:r>
    </w:p>
    <w:p>
      <w:pPr>
        <w:pStyle w:val="Heading1"/>
        <w:keepNext/>
        <w:spacing w:before="280" w:after="140"/>
      </w:pPr>
      <w:r>
        <w:rPr>
          <w:b/>
          <w:color w:val="000000"/>
          <w:sz w:val="30"/>
        </w:rPr>
        <w:t>Recoverable drafts and operational records</w:t>
      </w:r>
    </w:p>
    <w:p>
      <w:pPr>
        <w:widowControl/>
        <w:spacing w:after="140" w:line="259" w:lineRule="auto"/>
      </w:pPr>
      <w:r>
        <w:rPr>
          <w:rFonts w:ascii="Calibri" w:hAnsi="Calibri"/>
          <w:color w:val="000000"/>
          <w:sz w:val="21"/>
        </w:rPr>
        <w:t>D1 distinguishes three kinds of records. Git remains the canonical business authority for published artifacts, declarations, decisions and receipts. Board, inbox and search projections are rebuildable from authorized sources. Encrypted private drafts, generation checkpoints and operation/accounting records are separately governed operational records in Postgres, not projections; replay must never truncate or reconstruct them from Git. No private field may approve, pull, release or silently change a canonical item.</w:t>
      </w:r>
    </w:p>
    <w:p>
      <w:pPr>
        <w:widowControl/>
        <w:spacing w:after="140" w:line="259" w:lineRule="auto"/>
      </w:pPr>
      <w:r>
        <w:rPr>
          <w:rFonts w:ascii="Calibri" w:hAnsi="Calibri"/>
          <w:color w:val="000000"/>
          <w:sz w:val="21"/>
        </w:rPr>
        <w:t>The records and architecture owner accepted D1 revision 1 for STEER on 2026-09-10, bound to commit 9442b2d212b2c47c436cbe527dd07707b3c8174c and SHA-256 9191831b9870da5cb632d51e8f815aa538e7a191d4ac119f2d8318a264b53ac8. The exact amendment and detached acceptance are recorded in docs/architecture/DRAFT-RECORDS-AMENDMENT.md and operating/local-mac/records-d1-approval.json. Acceptance of the rule is distinct from verification and activation of a particular storage binding.</w:t>
      </w:r>
    </w:p>
    <w:p>
      <w:pPr>
        <w:widowControl/>
        <w:spacing w:after="140" w:line="259" w:lineRule="auto"/>
      </w:pPr>
      <w:r>
        <w:rPr>
          <w:rFonts w:ascii="Calibri" w:hAnsi="Calibri"/>
          <w:color w:val="000000"/>
          <w:sz w:val="21"/>
        </w:rPr>
        <w:t>RC-INTENT-DRAFT covers original intent, clarification history, generated originals, corrections, private review content and derived vectors. Ordinary access ends at the earliest of the original server-recorded creation plus seven days, verified publication plus 60 seconds, or explicit discard plus 60 seconds. Edits, retries and sign-in never extend that clock. Authentication expiry or sign-out revokes access but does not by itself discard a retained draft. Only the same currently authorized owner may reopen an unexpired revision; administrators do not gain content access solely through an admin hat. Scoped workers receive only the access required for the exact draft and operation. Browser persistence and automatic Git publication remain prohibited.</w:t>
      </w:r>
    </w:p>
    <w:p>
      <w:pPr>
        <w:widowControl/>
        <w:spacing w:after="140" w:line="259" w:lineRule="auto"/>
      </w:pPr>
      <w:r>
        <w:rPr>
          <w:rFonts w:ascii="Calibri" w:hAnsi="Calibri"/>
          <w:color w:val="000000"/>
          <w:sz w:val="21"/>
        </w:rPr>
        <w:t>RC-INTENT-OPERATION retains allowlisted operation identifiers, ownership, configuration, status and reservation/receipt references without prompt or output text for one year after a verified terminal operation. Unresolved external outcomes remain retained for reconciliation; no terminal event may be invented to expire them. RC-MODEL-USAGE retains content-free approval, consumed-reservation and reconciliation records until one year after the later of budget expiry or revocation and resolution of every associated outcome. A restored backup must never replenish a budget or replay a sent call.</w:t>
      </w:r>
    </w:p>
    <w:p>
      <w:pPr>
        <w:widowControl/>
        <w:spacing w:after="140" w:line="259" w:lineRule="auto"/>
      </w:pPr>
      <w:r>
        <w:rPr>
          <w:rFonts w:ascii="Calibri" w:hAnsi="Calibri"/>
          <w:color w:val="000000"/>
          <w:sz w:val="21"/>
        </w:rPr>
        <w:t>Draft payloads require per-draft envelope encryption, external keys, separate database roles and tenant/product/owner enforcement. Keys stay out of Git, logs, workflow history and database backups. Inventory WAL, replicas, snapshots and restored copies, and demonstrate that expired draft keys cannot be recovered through those paths. Expiry denies ordinary use immediately; qualified holds permit only restricted preservation. Actual disposition requires separate authority and all-copy verification. When verification is missing, retain inaccessible and report pending; do not claim deletion.</w:t>
      </w:r>
    </w:p>
    <w:p>
      <w:pPr>
        <w:widowControl/>
        <w:spacing w:after="140" w:line="259" w:lineRule="auto"/>
      </w:pPr>
      <w:r>
        <w:rPr>
          <w:rFonts w:ascii="Calibri" w:hAnsi="Calibri"/>
          <w:color w:val="000000"/>
          <w:sz w:val="21"/>
        </w:rPr>
        <w:t>Before a real organization can use persistent drafts, incorporate the approved doctrine and independently owned Exam requirements, obtain applicable exact gate rulings, and verify access denial, expiry/holds, key/copy lifecycle, reset-proof accounting and failure/backup recovery for its exact storage and runtime binding. Record recovery point/time and residual loss limits. Acknowledged revisions survive ordinary refresh or worker restart under that verified binding; unacknowledged keystrokes and destruction of the storage/key system have no zero-loss promise. Outside an adopted and verified binding, the prior memory-only boundary still applies.</w:t>
      </w:r>
    </w:p>
    <w:p>
      <w:pPr>
        <w:widowControl/>
        <w:spacing w:after="140" w:line="259" w:lineRule="auto"/>
      </w:pPr>
      <w:r>
        <w:rPr>
          <w:rFonts w:ascii="Calibri" w:hAnsi="Calibri"/>
          <w:color w:val="000000"/>
          <w:sz w:val="21"/>
        </w:rPr>
        <w:t>Private preservation is not candidate publication, pull, a gate signature or deployment. Published candidate artifacts retain their existing indefinite authoritative history; their private originals may expire earlier. Show that consequence before human confirmation. D1 does not authorize provider-side prompt retention, production evaluation corpora, GitHub writes, deletion or spending. Existing evidence, legal records, gates and content-free PostHog retention remain unchanged.</w:t>
      </w:r>
    </w:p>
    <w:p>
      <w:pPr>
        <w:pStyle w:val="Heading1"/>
        <w:keepNext/>
        <w:keepLines/>
        <w:pageBreakBefore/>
        <w:pBdr>
          <w:bottom w:val="single" w:color="2F4BD0" w:sz="10" w:space="5"/>
        </w:pBdr>
      </w:pPr>
      <w:r>
        <w:rPr>
          <w:rFonts w:ascii="Aptos" w:hAnsi="Aptos"/>
          <w:b/>
          <w:i w:val="0"/>
        </w:rPr>
        <w:t>The STEER document set</w:t>
      </w:r>
    </w:p>
    <w:p>
      <w:pPr>
        <w:pStyle w:val="ListBullet"/>
        <w:keepLines/>
        <w:spacing w:after="100"/>
        <w:ind w:left="317" w:hanging="202"/>
      </w:pPr>
      <w:r>
        <w:rPr>
          <w:rFonts w:ascii="Aptos" w:hAnsi="Aptos"/>
          <w:b w:val="0"/>
          <w:i w:val="0"/>
        </w:rPr>
        <w:t>STEER Methodology · Why: the constraint shift, the values, the principles that govern every decision</w:t>
      </w:r>
    </w:p>
    <w:p>
      <w:pPr>
        <w:pStyle w:val="ListBullet"/>
        <w:keepLines/>
        <w:spacing w:after="100"/>
        <w:ind w:left="317" w:hanging="202"/>
      </w:pPr>
      <w:r>
        <w:rPr>
          <w:rFonts w:ascii="Aptos" w:hAnsi="Aptos"/>
          <w:b w:val="0"/>
          <w:i w:val="0"/>
        </w:rPr>
        <w:t>STEER Framework · What: the structure, the artifact chain, the plays, the gates, the metrics</w:t>
      </w:r>
    </w:p>
    <w:p>
      <w:pPr>
        <w:pStyle w:val="ListBullet"/>
        <w:keepLines/>
        <w:spacing w:after="100"/>
        <w:ind w:left="317" w:hanging="202"/>
      </w:pPr>
      <w:r>
        <w:rPr>
          <w:rFonts w:ascii="Aptos" w:hAnsi="Aptos"/>
          <w:b w:val="0"/>
          <w:i w:val="0"/>
        </w:rPr>
        <w:t>STEER Operating Model (this document) · How: accountabilities, decision rights, trust policy, culture, and scale</w:t>
      </w:r>
    </w:p>
    <w:p>
      <w:pPr>
        <w:pStyle w:val="ListBullet"/>
        <w:keepLines/>
        <w:spacing w:after="100"/>
        <w:ind w:left="317" w:hanging="202"/>
      </w:pPr>
      <w:r>
        <w:rPr>
          <w:rFonts w:ascii="Aptos" w:hAnsi="Aptos"/>
          <w:b w:val="0"/>
          <w:i w:val="0"/>
        </w:rPr>
        <w:t>STEER Practice Note 1 · Sizing and Scoping Work in STEER · How work is split, aged, and forecast</w:t>
      </w:r>
    </w:p>
    <w:p>
      <w:pPr>
        <w:pStyle w:val="ListBullet"/>
        <w:keepLines/>
        <w:spacing w:after="100"/>
        <w:ind w:left="317" w:hanging="202"/>
      </w:pPr>
      <w:r>
        <w:rPr>
          <w:rFonts w:ascii="Aptos" w:hAnsi="Aptos"/>
          <w:b w:val="0"/>
          <w:i w:val="0"/>
        </w:rPr>
        <w:t>STEER Practice Note 2 · Providing Intent · How natural language becomes a committed brief, spec, exam, and plan</w:t>
      </w:r>
    </w:p>
    <w:p>
      <w:pPr>
        <w:pStyle w:val="ListBullet"/>
        <w:keepLines/>
        <w:spacing w:after="100"/>
        <w:ind w:left="317" w:hanging="202"/>
      </w:pPr>
      <w:r>
        <w:rPr>
          <w:rFonts w:ascii="Aptos" w:hAnsi="Aptos"/>
          <w:b w:val="0"/>
          <w:i w:val="0"/>
        </w:rPr>
        <w:t>STEER Practice Note 3 · The Three Surfaces · How intents, in-flight work, and decisions protect human attention</w:t>
      </w:r>
    </w:p>
    <w:p>
      <w:pPr>
        <w:keepLines/>
      </w:pPr>
      <w:r>
        <w:rPr>
          <w:rFonts w:ascii="Aptos" w:hAnsi="Aptos"/>
          <w:b w:val="0"/>
          <w:i w:val="0"/>
        </w:rPr>
        <w:t>The Guidebook is the complete reference; the Whitepaper is the shareable overview.</w:t>
      </w:r>
    </w:p>
    <w:sectPr w:rsidR="00FC693F" w:rsidRPr="0006063C" w:rsidSect="00034616">
      <w:footerReference w:type="default" r:id="rId10"/>
      <w:footerReference w:type="even" r:id="rId11"/>
      <w:headerReference w:type="default" r:id="rId12"/>
      <w:headerReference w:type="first" r:id="rId13"/>
      <w:headerReference w:type="even" r:id="rId14"/>
      <w:footerReference w:type="first" r:id="rId15"/>
      <w:pgSz w:w="12240" w:h="15840"/>
      <w:pgMar w:top="1123" w:right="1181" w:bottom="1037" w:left="1181" w:header="504"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6B6B"/>
        <w:sz w:val="16"/>
      </w:rPr>
      <w:t xml:space="preserve">STEER Operating Model v3.2 · Idriss Enayat · © 2026   ·   </w:t>
    </w:r>
    <w:r>
      <w:rPr>
        <w:rFonts w:ascii="Aptos" w:hAnsi="Aptos"/>
        <w:color w:val="6B6B6B"/>
        <w:sz w:val="16"/>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6B6B"/>
        <w:sz w:val="16"/>
      </w:rPr>
      <w:t xml:space="preserve">STEER Operating Model v3.2 · Idriss Enayat · © 2026   ·   </w:t>
    </w:r>
    <w:r>
      <w:rPr>
        <w:rFonts w:ascii="Aptos" w:hAnsi="Aptos"/>
        <w:color w:val="6B6B6B"/>
        <w:sz w:val="16"/>
      </w:rPr>
      <w:fldChar w:fldCharType="begin"/>
      <w:instrText xml:space="preserve">PAGE</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pPr>
    <w:rPr>
      <w:rFonts w:ascii="Aptos" w:hAnsi="Aptos"/>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A1A1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A1A1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1A1A1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ptos" w:hAnsi="Aptos"/>
      <w:b w:val="0"/>
      <w:i/>
      <w:iCs/>
      <w:color w:val="2F4BD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STEER Operating Model v3.1</dc:title>
  <dc:subject>How organizations run STEER</dc:subject>
  <dc:creator>Idriss Enayat</dc:creator>
  <cp:keywords/>
  <dc:description>Canonical Operating Model aligned to STEER Framework v3.1 amendments.</dc:description>
  <cp:lastModifiedBy/>
  <cp:revision>1</cp:revision>
  <dcterms:created xsi:type="dcterms:W3CDTF">2013-12-23T23:15:00Z</dcterms:created>
  <dcterms:modified xsi:type="dcterms:W3CDTF">2013-12-23T23:15:00Z</dcterms:modified>
  <cp:category/>
</cp:coreProperties>
</file>