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caps/>
          <w:color w:val="6b6b6b"/>
          <w:sz w:val="19"/>
          <w:szCs w:val="19"/>
        </w:rPr>
        <w:t xml:space="preserve">STEER practice notes · 1</w:t>
      </w:r>
    </w:p>
    <w:p>
      <w:pPr>
        <w:pBdr>
          <w:bottom w:val="single" w:color="2f4bd0" w:sz="14" w:space="10"/>
        </w:pBdr>
        <w:spacing w:after="50"/>
      </w:pPr>
      <w:r>
        <w:rPr>
          <w:sz w:val="2"/>
          <w:szCs w:val="2"/>
        </w:rPr>
        <w:t xml:space="preserve"/>
      </w:r>
    </w:p>
    <w:p>
      <w:pPr>
        <w:spacing w:after="120" w:before="160"/>
      </w:pPr>
      <w:r>
        <w:rPr>
          <w:b/>
          <w:bCs/>
          <w:color w:val="1a1a1a"/>
          <w:sz w:val="52"/>
          <w:szCs w:val="52"/>
        </w:rPr>
        <w:t xml:space="preserve">Sizing and Scoping Work in STEER</w:t>
      </w:r>
    </w:p>
    <w:p>
      <w:pPr>
        <w:spacing w:after="210"/>
      </w:pPr>
      <w:r>
        <w:rPr>
          <w:color w:val="2f4bd0"/>
          <w:sz w:val="26"/>
          <w:szCs w:val="26"/>
        </w:rPr>
        <w:t xml:space="preserve">How work is sized without story points, and why nothing takes forever</w:t>
      </w:r>
    </w:p>
    <w:p>
      <w:pPr>
        <w:spacing w:after="340"/>
      </w:pPr>
      <w:r>
        <w:rPr>
          <w:b/>
          <w:bCs/>
          <w:color w:val="1a1a1a"/>
          <w:sz w:val="21"/>
          <w:szCs w:val="21"/>
        </w:rPr>
        <w:t xml:space="preserve">Idriss Enayat</w:t>
      </w:r>
      <w:r>
        <w:rPr>
          <w:color w:val="6b6b6b"/>
          <w:sz w:val="20"/>
          <w:szCs w:val="20"/>
        </w:rPr>
        <w:t xml:space="preserve">   ·   Framework v3.0   ·   August 2026</w:t>
      </w:r>
    </w:p>
    <w:p>
      <w:pPr>
        <w:spacing w:after="160" w:line="274"/>
      </w:pPr>
      <w:r>
        <w:rPr>
          <w:color w:val="1a1a1a"/>
          <w:sz w:val="22"/>
          <w:szCs w:val="22"/>
        </w:rPr>
        <w:t xml:space="preserve">Every team arriving from Scrum asks the same question: without story points and sprints, how do we size work, keep commitments, and stop items from bloating into forever-projects? This note answers it. The short version: STEER retires the estimation ritual but keeps both jobs it performed, and hands them to stronger mechanisms.</w:t>
      </w:r>
    </w:p>
    <w:p>
      <w:pPr>
        <w:pStyle w:val="Heading1"/>
        <w:spacing w:after="60" w:before="340"/>
      </w:pPr>
      <w:r>
        <w:rPr>
          <w:b/>
          <w:bCs/>
          <w:color w:val="1a1a1a"/>
          <w:sz w:val="30"/>
          <w:szCs w:val="30"/>
        </w:rPr>
        <w:t xml:space="preserve">What Sizing Was Actually For</w:t>
      </w:r>
    </w:p>
    <w:p>
      <w:pPr>
        <w:pBdr>
          <w:bottom w:val="single" w:color="2f4bd0" w:sz="8" w:space="4"/>
        </w:pBdr>
        <w:spacing w:after="200"/>
      </w:pPr>
      <w:r>
        <w:rPr>
          <w:sz w:val="2"/>
          <w:szCs w:val="2"/>
        </w:rPr>
        <w:t xml:space="preserve"/>
      </w:r>
    </w:p>
    <w:p>
      <w:pPr>
        <w:spacing w:after="160" w:line="274"/>
      </w:pPr>
      <w:r>
        <w:rPr>
          <w:color w:val="1a1a1a"/>
          <w:sz w:val="22"/>
          <w:szCs w:val="22"/>
        </w:rPr>
        <w:t xml:space="preserve">Story points did two jobs. Predictability: can we finish this in a known amount of time? Scope control: is this item small and clear enough that it will not drag on forever? Points did both indirectly, by estimating human effort. Agent labor breaks that proxy twice over: effort became cheap, and it became wildly variable (the same brief can build in twenty minutes or two days depending on ambiguity, not size). What actually makes work drag was never effort. It was ambiguity. So STEER sizes the thing that matters.</w:t>
      </w:r>
    </w:p>
    <w:p>
      <w:pPr>
        <w:pStyle w:val="Heading1"/>
        <w:spacing w:after="60" w:before="340"/>
      </w:pPr>
      <w:r>
        <w:rPr>
          <w:b/>
          <w:bCs/>
          <w:color w:val="1a1a1a"/>
          <w:sz w:val="30"/>
          <w:szCs w:val="30"/>
        </w:rPr>
        <w:t xml:space="preserve">The Exam Is the Sizing Instrument</w:t>
      </w:r>
    </w:p>
    <w:p>
      <w:pPr>
        <w:pBdr>
          <w:bottom w:val="single" w:color="2f4bd0" w:sz="8" w:space="4"/>
        </w:pBdr>
        <w:spacing w:after="200"/>
      </w:pPr>
      <w:r>
        <w:rPr>
          <w:sz w:val="2"/>
          <w:szCs w:val="2"/>
        </w:rPr>
        <w:t xml:space="preserve"/>
      </w:r>
    </w:p>
    <w:p>
      <w:pPr>
        <w:spacing w:after="160" w:line="274"/>
      </w:pPr>
      <w:r>
        <w:rPr>
          <w:color w:val="1a1a1a"/>
          <w:sz w:val="22"/>
          <w:szCs w:val="22"/>
        </w:rPr>
        <w:t xml:space="preserve">A brief is right-sized when its exam can be written concretely. If the Test Agent and Tech Lead can express provably done as a crisp set of tests with one measurable outcome, the item is buildable. If they cannot, the brief is too big or too vague, and that signal fires at Frame, before any build, where splitting costs a document edit. The Scrum instinct survives in a new form: pointing a story to see if it fits a sprint becomes examining a brief to see if it is specifiable.</w:t>
      </w:r>
    </w:p>
    <w:p>
      <w:pPr>
        <w:spacing w:after="160" w:line="274"/>
      </w:pPr>
      <w:r>
        <w:rPr>
          <w:color w:val="1a1a1a"/>
          <w:sz w:val="22"/>
          <w:szCs w:val="22"/>
        </w:rPr>
        <w:t xml:space="preserve">A second alarm comes free at Engineer: the agent's plan names every file it will touch. A plan that sprawls across twenty files and four systems is the oversized-item warning, caught before implementation, and splitting at that point costs a conversation, not a re-planning ceremony.</w:t>
      </w:r>
    </w:p>
    <w:p>
      <w:pPr>
        <w:pStyle w:val="ListParagraph"/>
        <w:numPr>
          <w:ilvl w:val="0"/>
          <w:numId w:val="2"/>
        </w:numPr>
        <w:spacing w:after="92" w:line="272"/>
      </w:pPr>
      <w:r>
        <w:rPr>
          <w:b/>
          <w:bCs/>
          <w:color w:val="1a1a1a"/>
          <w:sz w:val="22"/>
          <w:szCs w:val="22"/>
        </w:rPr>
        <w:t xml:space="preserve">One brief, one outcome: </w:t>
      </w:r>
      <w:r>
        <w:rPr>
          <w:color w:val="1a1a1a"/>
          <w:sz w:val="22"/>
          <w:szCs w:val="22"/>
        </w:rPr>
        <w:t xml:space="preserve">one measurable outcome in the brief. Two outcomes means two briefs.</w:t>
      </w:r>
    </w:p>
    <w:p>
      <w:pPr>
        <w:pStyle w:val="ListParagraph"/>
        <w:numPr>
          <w:ilvl w:val="0"/>
          <w:numId w:val="2"/>
        </w:numPr>
        <w:spacing w:after="92" w:line="272"/>
      </w:pPr>
      <w:r>
        <w:rPr>
          <w:b/>
          <w:bCs/>
          <w:color w:val="1a1a1a"/>
          <w:sz w:val="22"/>
          <w:szCs w:val="22"/>
        </w:rPr>
        <w:t xml:space="preserve">One brief, one exam: </w:t>
      </w:r>
      <w:r>
        <w:rPr>
          <w:color w:val="1a1a1a"/>
          <w:sz w:val="22"/>
          <w:szCs w:val="22"/>
        </w:rPr>
        <w:t xml:space="preserve">one crisp exam. If the exam needs chapters, the brief needs a knife.</w:t>
      </w:r>
    </w:p>
    <w:p>
      <w:pPr>
        <w:pStyle w:val="ListParagraph"/>
        <w:numPr>
          <w:ilvl w:val="0"/>
          <w:numId w:val="2"/>
        </w:numPr>
        <w:spacing w:after="92" w:line="272"/>
      </w:pPr>
      <w:r>
        <w:rPr>
          <w:b/>
          <w:bCs/>
          <w:color w:val="1a1a1a"/>
          <w:sz w:val="22"/>
          <w:szCs w:val="22"/>
        </w:rPr>
        <w:t xml:space="preserve">One brief, one shape: </w:t>
      </w:r>
      <w:r>
        <w:rPr>
          <w:color w:val="1a1a1a"/>
          <w:sz w:val="22"/>
          <w:szCs w:val="22"/>
        </w:rPr>
        <w:t xml:space="preserve">a scope the fresh-context Critic does not flag as sprawling.</w:t>
      </w:r>
    </w:p>
    <w:p>
      <w:pPr>
        <w:spacing w:after="160" w:line="274"/>
      </w:pPr>
      <w:r>
        <w:rPr>
          <w:color w:val="1a1a1a"/>
          <w:sz w:val="22"/>
          <w:szCs w:val="22"/>
        </w:rPr>
        <w:t xml:space="preserve">Common splitting lines when any rule fails: by user path (each journey its own brief), by domain tag (the default-closed security surface separated from the default-open remainder), by interface seam (each side of a contract its own brief), and for legacy work, the on-ramp brief first (make the area agent-safe) with the feature brief behind it.</w:t>
      </w:r>
    </w:p>
    <w:p>
      <w:pPr>
        <w:pStyle w:val="Heading1"/>
        <w:spacing w:after="60" w:before="340"/>
      </w:pPr>
      <w:r>
        <w:rPr>
          <w:b/>
          <w:bCs/>
          <w:color w:val="1a1a1a"/>
          <w:sz w:val="30"/>
          <w:szCs w:val="30"/>
        </w:rPr>
        <w:t xml:space="preserve">Aging Replaces Velocity as the Alarm</w:t>
      </w:r>
    </w:p>
    <w:p>
      <w:pPr>
        <w:pBdr>
          <w:bottom w:val="single" w:color="2f4bd0" w:sz="8" w:space="4"/>
        </w:pBdr>
        <w:spacing w:after="200"/>
      </w:pPr>
      <w:r>
        <w:rPr>
          <w:sz w:val="2"/>
          <w:szCs w:val="2"/>
        </w:rPr>
        <w:t xml:space="preserve"/>
      </w:r>
    </w:p>
    <w:p>
      <w:pPr>
        <w:spacing w:after="160" w:line="274"/>
      </w:pPr>
      <w:r>
        <w:rPr>
          <w:color w:val="1a1a1a"/>
          <w:sz w:val="22"/>
          <w:szCs w:val="22"/>
        </w:rPr>
        <w:t xml:space="preserve">In Scrum, a bloated item announces itself by rolling over two sprints, weeks after the drag began. In STEER, every Flight Board state carries an expected cycle-time band computed from the pod's own flow history, and an item that sits past its band escalates to the huddle automatically. It is the same control-band mechanic the framework points at production, pointed at the process itself. Nothing quietly takes forever, because forever is a threshold breach, visible the day it starts.</w:t>
      </w:r>
    </w:p>
    <w:p>
      <w:pPr>
        <w:pStyle w:val="Heading1"/>
        <w:spacing w:after="60" w:before="340"/>
      </w:pPr>
      <w:r>
        <w:rPr>
          <w:b/>
          <w:bCs/>
          <w:color w:val="1a1a1a"/>
          <w:sz w:val="30"/>
          <w:szCs w:val="30"/>
        </w:rPr>
        <w:t xml:space="preserve">Scope Bloat Is Blocked Structurally</w:t>
      </w:r>
    </w:p>
    <w:p>
      <w:pPr>
        <w:pBdr>
          <w:bottom w:val="single" w:color="2f4bd0" w:sz="8" w:space="4"/>
        </w:pBdr>
        <w:spacing w:after="200"/>
      </w:pPr>
      <w:r>
        <w:rPr>
          <w:sz w:val="2"/>
          <w:szCs w:val="2"/>
        </w:rPr>
        <w:t xml:space="preserve"/>
      </w:r>
    </w:p>
    <w:p>
      <w:pPr>
        <w:spacing w:after="160" w:line="274"/>
      </w:pPr>
      <w:r>
        <w:rPr>
          <w:color w:val="1a1a1a"/>
          <w:sz w:val="22"/>
          <w:szCs w:val="22"/>
        </w:rPr>
        <w:t xml:space="preserve">From the human side: the brief's scope freezes at Gate 1. New wants that appear mid-build are not while-you-are-in-there additions; they are either a revision back through the gate or a new brief. From the agent side: Builders build to the exam and nothing more, and they cannot edit the exam, so gold-plating is structurally impossible. Done is defined (exam green, gates signed, outcome observed), never negotiated at the end. The economics make this safe in a way Scrum never was: a mis-sized slice used to cost a blown sprint, so teams paid an estimation tax to avoid it. In STEER a wrong slice costs hours. Split it and rerun.</w:t>
      </w:r>
    </w:p>
    <w:p>
      <w:pPr>
        <w:pStyle w:val="Heading1"/>
        <w:spacing w:after="60" w:before="340"/>
      </w:pPr>
      <w:r>
        <w:rPr>
          <w:b/>
          <w:bCs/>
          <w:color w:val="1a1a1a"/>
          <w:sz w:val="30"/>
          <w:szCs w:val="30"/>
        </w:rPr>
        <w:t xml:space="preserve">Forecasting Replaces Estimating</w:t>
      </w:r>
    </w:p>
    <w:p>
      <w:pPr>
        <w:pBdr>
          <w:bottom w:val="single" w:color="2f4bd0" w:sz="8" w:space="4"/>
        </w:pBdr>
        <w:spacing w:after="200"/>
      </w:pPr>
      <w:r>
        <w:rPr>
          <w:sz w:val="2"/>
          <w:szCs w:val="2"/>
        </w:rPr>
        <w:t xml:space="preserve"/>
      </w:r>
    </w:p>
    <w:p>
      <w:pPr>
        <w:spacing w:after="160" w:line="274"/>
      </w:pPr>
      <w:r>
        <w:rPr>
          <w:color w:val="1a1a1a"/>
          <w:sz w:val="22"/>
          <w:szCs w:val="22"/>
        </w:rPr>
        <w:t xml:space="preserve">When the business asks when it will be done, the answer comes from flow data, mature-Kanban style: briefs of this shape complete in two to four days at the 85th percentile; this initiative decomposes into five briefs; expect two to three weeks. That is a probabilistic answer from real history instead of a negotiated one from planning poker, and after a few dozen items it is more accurate than any pointing session. Genuine deadlines are not forecasts: a contractual or regulatory date enters the brief as a constraint, and the gates tier accordingly.</w:t>
      </w:r>
    </w:p>
    <w:p>
      <w:pPr>
        <w:pStyle w:val="Heading1"/>
        <w:spacing w:after="60" w:before="340"/>
      </w:pPr>
      <w:r>
        <w:rPr>
          <w:b/>
          <w:bCs/>
          <w:color w:val="1a1a1a"/>
          <w:sz w:val="30"/>
          <w:szCs w:val="30"/>
        </w:rPr>
        <w:t xml:space="preserve">Quick Reference</w:t>
      </w:r>
    </w:p>
    <w:p>
      <w:pPr>
        <w:pBdr>
          <w:bottom w:val="single" w:color="2f4bd0" w:sz="8" w:space="4"/>
        </w:pBd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6310"/>
      </w:tblGrid>
      <w:tr>
        <w:tc>
          <w:tcPr>
            <w:tcW w:type="dxa" w:w="3050"/>
            <w:shd w:fill="e8e8e0" w:val="clear"/>
            <w:tcMar>
              <w:top w:type="dxa" w:w="85"/>
              <w:left w:type="dxa" w:w="115"/>
              <w:bottom w:type="dxa" w:w="85"/>
              <w:right w:type="dxa" w:w="115"/>
            </w:tcMar>
          </w:tcPr>
          <w:p>
            <w:pPr>
              <w:spacing w:after="0" w:line="246"/>
            </w:pPr>
            <w:r>
              <w:rPr>
                <w:b/>
                <w:bCs/>
                <w:color w:val="1a1a1a"/>
                <w:sz w:val="19"/>
                <w:szCs w:val="19"/>
              </w:rPr>
              <w:t xml:space="preserve">Scrum habit</w:t>
            </w:r>
          </w:p>
        </w:tc>
        <w:tc>
          <w:tcPr>
            <w:tcW w:type="dxa" w:w="6310"/>
            <w:shd w:fill="e8e8e0" w:val="clear"/>
            <w:tcMar>
              <w:top w:type="dxa" w:w="85"/>
              <w:left w:type="dxa" w:w="115"/>
              <w:bottom w:type="dxa" w:w="85"/>
              <w:right w:type="dxa" w:w="115"/>
            </w:tcMar>
          </w:tcPr>
          <w:p>
            <w:pPr>
              <w:spacing w:after="0" w:line="246"/>
            </w:pPr>
            <w:r>
              <w:rPr>
                <w:b/>
                <w:bCs/>
                <w:color w:val="1a1a1a"/>
                <w:sz w:val="19"/>
                <w:szCs w:val="19"/>
              </w:rPr>
              <w:t xml:space="preserve">STEER mechanism</w:t>
            </w:r>
          </w:p>
        </w:tc>
      </w:tr>
      <w:tr>
        <w:tc>
          <w:tcPr>
            <w:tcW w:type="dxa" w:w="3050"/>
            <w:shd w:fill="f7f7f2" w:val="clear"/>
            <w:tcMar>
              <w:top w:type="dxa" w:w="85"/>
              <w:left w:type="dxa" w:w="115"/>
              <w:bottom w:type="dxa" w:w="85"/>
              <w:right w:type="dxa" w:w="115"/>
            </w:tcMar>
          </w:tcPr>
          <w:p>
            <w:pPr>
              <w:spacing w:after="0" w:line="246"/>
            </w:pPr>
            <w:r>
              <w:rPr>
                <w:b w:val="false"/>
                <w:bCs w:val="false"/>
                <w:color w:val="1a1a1a"/>
                <w:sz w:val="19"/>
                <w:szCs w:val="19"/>
              </w:rPr>
              <w:t xml:space="preserve">Story points and planning poker</w:t>
            </w:r>
          </w:p>
        </w:tc>
        <w:tc>
          <w:tcPr>
            <w:tcW w:type="dxa" w:w="6310"/>
            <w:shd w:fill="f7f7f2" w:val="clear"/>
            <w:tcMar>
              <w:top w:type="dxa" w:w="85"/>
              <w:left w:type="dxa" w:w="115"/>
              <w:bottom w:type="dxa" w:w="85"/>
              <w:right w:type="dxa" w:w="115"/>
            </w:tcMar>
          </w:tcPr>
          <w:p>
            <w:pPr>
              <w:spacing w:after="0" w:line="246"/>
            </w:pPr>
            <w:r>
              <w:rPr>
                <w:b w:val="false"/>
                <w:bCs w:val="false"/>
                <w:color w:val="1a1a1a"/>
                <w:sz w:val="19"/>
                <w:szCs w:val="19"/>
              </w:rPr>
              <w:t xml:space="preserve">Exam-writability test at Frame: specifiable means buildable</w:t>
            </w:r>
          </w:p>
        </w:tc>
      </w:tr>
      <w:tr>
        <w:tc>
          <w:tcPr>
            <w:tcW w:type="dxa" w:w="3050"/>
            <w:tcMar>
              <w:top w:type="dxa" w:w="85"/>
              <w:left w:type="dxa" w:w="115"/>
              <w:bottom w:type="dxa" w:w="85"/>
              <w:right w:type="dxa" w:w="115"/>
            </w:tcMar>
          </w:tcPr>
          <w:p>
            <w:pPr>
              <w:spacing w:after="0" w:line="246"/>
            </w:pPr>
            <w:r>
              <w:rPr>
                <w:b w:val="false"/>
                <w:bCs w:val="false"/>
                <w:color w:val="1a1a1a"/>
                <w:sz w:val="19"/>
                <w:szCs w:val="19"/>
              </w:rPr>
              <w:t xml:space="preserve">Fits in a sprint</w:t>
            </w:r>
          </w:p>
        </w:tc>
        <w:tc>
          <w:tcPr>
            <w:tcW w:type="dxa" w:w="6310"/>
            <w:tcMar>
              <w:top w:type="dxa" w:w="85"/>
              <w:left w:type="dxa" w:w="115"/>
              <w:bottom w:type="dxa" w:w="85"/>
              <w:right w:type="dxa" w:w="115"/>
            </w:tcMar>
          </w:tcPr>
          <w:p>
            <w:pPr>
              <w:spacing w:after="0" w:line="246"/>
            </w:pPr>
            <w:r>
              <w:rPr>
                <w:b w:val="false"/>
                <w:bCs w:val="false"/>
                <w:color w:val="1a1a1a"/>
                <w:sz w:val="19"/>
                <w:szCs w:val="19"/>
              </w:rPr>
              <w:t xml:space="preserve">One outcome, one exam, one shape; split before Gate 1 if any rule fails</w:t>
            </w:r>
          </w:p>
        </w:tc>
      </w:tr>
      <w:tr>
        <w:tc>
          <w:tcPr>
            <w:tcW w:type="dxa" w:w="3050"/>
            <w:shd w:fill="f7f7f2" w:val="clear"/>
            <w:tcMar>
              <w:top w:type="dxa" w:w="85"/>
              <w:left w:type="dxa" w:w="115"/>
              <w:bottom w:type="dxa" w:w="85"/>
              <w:right w:type="dxa" w:w="115"/>
            </w:tcMar>
          </w:tcPr>
          <w:p>
            <w:pPr>
              <w:spacing w:after="0" w:line="246"/>
            </w:pPr>
            <w:r>
              <w:rPr>
                <w:b w:val="false"/>
                <w:bCs w:val="false"/>
                <w:color w:val="1a1a1a"/>
                <w:sz w:val="19"/>
                <w:szCs w:val="19"/>
              </w:rPr>
              <w:t xml:space="preserve">Sprint rollover as the drag signal</w:t>
            </w:r>
          </w:p>
        </w:tc>
        <w:tc>
          <w:tcPr>
            <w:tcW w:type="dxa" w:w="6310"/>
            <w:shd w:fill="f7f7f2" w:val="clear"/>
            <w:tcMar>
              <w:top w:type="dxa" w:w="85"/>
              <w:left w:type="dxa" w:w="115"/>
              <w:bottom w:type="dxa" w:w="85"/>
              <w:right w:type="dxa" w:w="115"/>
            </w:tcMar>
          </w:tcPr>
          <w:p>
            <w:pPr>
              <w:spacing w:after="0" w:line="246"/>
            </w:pPr>
            <w:r>
              <w:rPr>
                <w:b w:val="false"/>
                <w:bCs w:val="false"/>
                <w:color w:val="1a1a1a"/>
                <w:sz w:val="19"/>
                <w:szCs w:val="19"/>
              </w:rPr>
              <w:t xml:space="preserve">Cycle-time bands per state; aging items escalate the day they breach</w:t>
            </w:r>
          </w:p>
        </w:tc>
      </w:tr>
      <w:tr>
        <w:tc>
          <w:tcPr>
            <w:tcW w:type="dxa" w:w="3050"/>
            <w:tcMar>
              <w:top w:type="dxa" w:w="85"/>
              <w:left w:type="dxa" w:w="115"/>
              <w:bottom w:type="dxa" w:w="85"/>
              <w:right w:type="dxa" w:w="115"/>
            </w:tcMar>
          </w:tcPr>
          <w:p>
            <w:pPr>
              <w:spacing w:after="0" w:line="246"/>
            </w:pPr>
            <w:r>
              <w:rPr>
                <w:b w:val="false"/>
                <w:bCs w:val="false"/>
                <w:color w:val="1a1a1a"/>
                <w:sz w:val="19"/>
                <w:szCs w:val="19"/>
              </w:rPr>
              <w:t xml:space="preserve">Scope creep during the sprint</w:t>
            </w:r>
          </w:p>
        </w:tc>
        <w:tc>
          <w:tcPr>
            <w:tcW w:type="dxa" w:w="6310"/>
            <w:tcMar>
              <w:top w:type="dxa" w:w="85"/>
              <w:left w:type="dxa" w:w="115"/>
              <w:bottom w:type="dxa" w:w="85"/>
              <w:right w:type="dxa" w:w="115"/>
            </w:tcMar>
          </w:tcPr>
          <w:p>
            <w:pPr>
              <w:spacing w:after="0" w:line="246"/>
            </w:pPr>
            <w:r>
              <w:rPr>
                <w:b w:val="false"/>
                <w:bCs w:val="false"/>
                <w:color w:val="1a1a1a"/>
                <w:sz w:val="19"/>
                <w:szCs w:val="19"/>
              </w:rPr>
              <w:t xml:space="preserve">Scope frozen at Gate 1; the exam is a ceiling Builders cannot edit</w:t>
            </w:r>
          </w:p>
        </w:tc>
      </w:tr>
      <w:tr>
        <w:tc>
          <w:tcPr>
            <w:tcW w:type="dxa" w:w="3050"/>
            <w:shd w:fill="f7f7f2" w:val="clear"/>
            <w:tcMar>
              <w:top w:type="dxa" w:w="85"/>
              <w:left w:type="dxa" w:w="115"/>
              <w:bottom w:type="dxa" w:w="85"/>
              <w:right w:type="dxa" w:w="115"/>
            </w:tcMar>
          </w:tcPr>
          <w:p>
            <w:pPr>
              <w:spacing w:after="0" w:line="246"/>
            </w:pPr>
            <w:r>
              <w:rPr>
                <w:b w:val="false"/>
                <w:bCs w:val="false"/>
                <w:color w:val="1a1a1a"/>
                <w:sz w:val="19"/>
                <w:szCs w:val="19"/>
              </w:rPr>
              <w:t xml:space="preserve">Velocity for forecasting</w:t>
            </w:r>
          </w:p>
        </w:tc>
        <w:tc>
          <w:tcPr>
            <w:tcW w:type="dxa" w:w="6310"/>
            <w:shd w:fill="f7f7f2" w:val="clear"/>
            <w:tcMar>
              <w:top w:type="dxa" w:w="85"/>
              <w:left w:type="dxa" w:w="115"/>
              <w:bottom w:type="dxa" w:w="85"/>
              <w:right w:type="dxa" w:w="115"/>
            </w:tcMar>
          </w:tcPr>
          <w:p>
            <w:pPr>
              <w:spacing w:after="0" w:line="246"/>
            </w:pPr>
            <w:r>
              <w:rPr>
                <w:b w:val="false"/>
                <w:bCs w:val="false"/>
                <w:color w:val="1a1a1a"/>
                <w:sz w:val="19"/>
                <w:szCs w:val="19"/>
              </w:rPr>
              <w:t xml:space="preserve">Cycle-time percentiles per brief shape; deadlines enter briefs as constraints</w:t>
            </w:r>
          </w:p>
        </w:tc>
      </w:tr>
      <w:tr>
        <w:tc>
          <w:tcPr>
            <w:tcW w:type="dxa" w:w="3050"/>
            <w:tcMar>
              <w:top w:type="dxa" w:w="85"/>
              <w:left w:type="dxa" w:w="115"/>
              <w:bottom w:type="dxa" w:w="85"/>
              <w:right w:type="dxa" w:w="115"/>
            </w:tcMar>
          </w:tcPr>
          <w:p>
            <w:pPr>
              <w:spacing w:after="0" w:line="246"/>
            </w:pPr>
            <w:r>
              <w:rPr>
                <w:b w:val="false"/>
                <w:bCs w:val="false"/>
                <w:color w:val="1a1a1a"/>
                <w:sz w:val="19"/>
                <w:szCs w:val="19"/>
              </w:rPr>
              <w:t xml:space="preserve">Capacity planning by developer hours</w:t>
            </w:r>
          </w:p>
        </w:tc>
        <w:tc>
          <w:tcPr>
            <w:tcW w:type="dxa" w:w="6310"/>
            <w:tcMar>
              <w:top w:type="dxa" w:w="85"/>
              <w:left w:type="dxa" w:w="115"/>
              <w:bottom w:type="dxa" w:w="85"/>
              <w:right w:type="dxa" w:w="115"/>
            </w:tcMar>
          </w:tcPr>
          <w:p>
            <w:pPr>
              <w:spacing w:after="0" w:line="246"/>
            </w:pPr>
            <w:r>
              <w:rPr>
                <w:b w:val="false"/>
                <w:bCs w:val="false"/>
                <w:color w:val="1a1a1a"/>
                <w:sz w:val="19"/>
                <w:szCs w:val="19"/>
              </w:rPr>
              <w:t xml:space="preserve">WIP limited by human framing capacity; the Product Lead's attention is the scarce resource</w:t>
            </w:r>
          </w:p>
        </w:tc>
      </w:tr>
      <w:tr>
        <w:tc>
          <w:tcPr>
            <w:tcW w:type="dxa" w:w="3050"/>
            <w:shd w:fill="f7f7f2" w:val="clear"/>
            <w:tcMar>
              <w:top w:type="dxa" w:w="85"/>
              <w:left w:type="dxa" w:w="115"/>
              <w:bottom w:type="dxa" w:w="85"/>
              <w:right w:type="dxa" w:w="115"/>
            </w:tcMar>
          </w:tcPr>
          <w:p>
            <w:pPr>
              <w:spacing w:after="0" w:line="246"/>
            </w:pPr>
            <w:r>
              <w:rPr>
                <w:b w:val="false"/>
                <w:bCs w:val="false"/>
                <w:color w:val="1a1a1a"/>
                <w:sz w:val="19"/>
                <w:szCs w:val="19"/>
              </w:rPr>
              <w:t xml:space="preserve">T-shirt sizing in triage</w:t>
            </w:r>
          </w:p>
        </w:tc>
        <w:tc>
          <w:tcPr>
            <w:tcW w:type="dxa" w:w="6310"/>
            <w:shd w:fill="f7f7f2" w:val="clear"/>
            <w:tcMar>
              <w:top w:type="dxa" w:w="85"/>
              <w:left w:type="dxa" w:w="115"/>
              <w:bottom w:type="dxa" w:w="85"/>
              <w:right w:type="dxa" w:w="115"/>
            </w:tcMar>
          </w:tcPr>
          <w:p>
            <w:pPr>
              <w:spacing w:after="0" w:line="246"/>
            </w:pPr>
            <w:r>
              <w:rPr>
                <w:b w:val="false"/>
                <w:bCs w:val="false"/>
                <w:color w:val="1a1a1a"/>
                <w:sz w:val="19"/>
                <w:szCs w:val="19"/>
              </w:rPr>
              <w:t xml:space="preserve">Optional label for conversation only; never a commitment, never reported</w:t>
            </w:r>
          </w:p>
        </w:tc>
      </w:tr>
    </w:tbl>
    <w:p>
      <w:pPr>
        <w:spacing w:before="160"/>
      </w:pPr>
      <w:r>
        <w:rPr>
          <w:color w:val="1a1a1a"/>
          <w:sz w:val="22"/>
          <w:szCs w:val="22"/>
        </w:rPr>
        <w:t xml:space="preserve">If leadership still asks for points, report the percentiles: they answer the question points were pretending to answer, with data instead of negotiation.</w:t>
      </w:r>
    </w:p>
    <w:p>
      <w:pPr>
        <w:spacing w:after="90" w:before="240"/>
      </w:pPr>
      <w:r>
        <w:rPr>
          <w:b/>
          <w:bCs/>
          <w:color w:val="1a1a1a"/>
          <w:sz w:val="21"/>
          <w:szCs w:val="21"/>
        </w:rPr>
        <w:t xml:space="preserve">The STEER document set</w:t>
      </w:r>
    </w:p>
    <w:p>
      <w:pPr>
        <w:pStyle w:val="ListParagraph"/>
        <w:numPr>
          <w:ilvl w:val="0"/>
          <w:numId w:val="2"/>
        </w:numPr>
        <w:spacing w:after="80" w:line="268"/>
      </w:pPr>
      <w:r>
        <w:rPr>
          <w:b/>
          <w:bCs/>
          <w:color w:val="1a1a1a"/>
          <w:sz w:val="20"/>
          <w:szCs w:val="20"/>
        </w:rPr>
        <w:t xml:space="preserve">STEER Methodology</w:t>
      </w:r>
      <w:r>
        <w:rPr>
          <w:color w:val="333333"/>
          <w:sz w:val="20"/>
          <w:szCs w:val="20"/>
        </w:rPr>
        <w:t xml:space="preserve"> · Why: the constraint shift, the values, the principles that govern every decision</w:t>
      </w:r>
    </w:p>
    <w:p>
      <w:pPr>
        <w:pStyle w:val="ListParagraph"/>
        <w:numPr>
          <w:ilvl w:val="0"/>
          <w:numId w:val="2"/>
        </w:numPr>
        <w:spacing w:after="80" w:line="268"/>
      </w:pPr>
      <w:r>
        <w:rPr>
          <w:b/>
          <w:bCs/>
          <w:color w:val="1a1a1a"/>
          <w:sz w:val="20"/>
          <w:szCs w:val="20"/>
        </w:rPr>
        <w:t xml:space="preserve">STEER Framework</w:t>
      </w:r>
      <w:r>
        <w:rPr>
          <w:color w:val="333333"/>
          <w:sz w:val="20"/>
          <w:szCs w:val="20"/>
        </w:rPr>
        <w:t xml:space="preserve"> · What: the structure, the artifact chain, the plays, the gates, the metrics</w:t>
      </w:r>
    </w:p>
    <w:p>
      <w:pPr>
        <w:pStyle w:val="ListParagraph"/>
        <w:numPr>
          <w:ilvl w:val="0"/>
          <w:numId w:val="2"/>
        </w:numPr>
        <w:spacing w:after="80" w:line="268"/>
      </w:pPr>
      <w:r>
        <w:rPr>
          <w:b/>
          <w:bCs/>
          <w:color w:val="1a1a1a"/>
          <w:sz w:val="20"/>
          <w:szCs w:val="20"/>
        </w:rPr>
        <w:t xml:space="preserve">STEER Operating Model</w:t>
      </w:r>
      <w:r>
        <w:rPr>
          <w:color w:val="333333"/>
          <w:sz w:val="20"/>
          <w:szCs w:val="20"/>
        </w:rPr>
        <w:t xml:space="preserve"> · How: accountabilities, decision rights, trust policy, culture, and scale</w:t>
      </w:r>
    </w:p>
    <w:p>
      <w:pPr>
        <w:spacing w:after="0"/>
      </w:pPr>
      <w:r>
        <w:rPr>
          <w:i/>
          <w:iCs/>
          <w:color w:val="6b6b6b"/>
          <w:sz w:val="19"/>
          <w:szCs w:val="19"/>
        </w:rPr>
        <w:t xml:space="preserve">The Guidebook is the complete reference; the Whitepaper is the shareable overview.</w:t>
      </w:r>
    </w:p>
    <w:sectPr>
      <w:footerReference w:type="default" r:id="rId7"/>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STEER Practice Notes 1 · Sizing and Scoping · Idriss Enayat · © 2026    ·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2026-08-28T21:02:40.042Z</dcterms:created>
  <dcterms:modified xsi:type="dcterms:W3CDTF">2026-08-28T21:02:40.060Z</dcterms:modified>
</cp:coreProperties>
</file>

<file path=docProps/custom.xml><?xml version="1.0" encoding="utf-8"?>
<Properties xmlns="http://schemas.openxmlformats.org/officeDocument/2006/custom-properties" xmlns:vt="http://schemas.openxmlformats.org/officeDocument/2006/docPropsVTypes"/>
</file>