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Idriss Enayat</w:t>
      </w:r>
      <w:r>
        <w:rPr>
          <w:color w:val="6b6b6b"/>
          <w:sz w:val="20"/>
          <w:szCs w:val="20"/>
        </w:rPr>
        <w:t xml:space="preserve">   ·   Framework v3.1   ·   September 2026</w:t>
      </w:r>
    </w:p>
    <w:p>
      <w:pPr>
        <w:spacing w:after="160" w:line="274"/>
      </w:pPr>
      <w:r>
        <w:rPr>
          <w:color w:val="1a1a1a"/>
          <w:sz w:val="22"/>
          <w:szCs w:val="22"/>
        </w:rPr>
        <w:t>This document defines STEER's structure: the organization topology,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Organization Structure</w:t>
      </w:r>
    </w:p>
    <w:p>
      <w:pPr>
        <w:pBdr>
          <w:bottom w:val="single" w:color="2f4bd0" w:sz="8" w:space="4"/>
        </w:pBdr>
        <w:spacing w:after="200"/>
      </w:pPr>
      <w:r>
        <w:rPr>
          <w:sz w:val="2"/>
          <w:szCs w:val="2"/>
        </w:rPr>
      </w:r>
    </w:p>
    <w:p>
      <w:pPr>
        <w:spacing w:after="160" w:line="274"/>
      </w:pPr>
      <w:r>
        <w:rPr>
          <w:color w:val="1a1a1a"/>
          <w:sz w:val="22"/>
          <w:szCs w:val="22"/>
        </w:rPr>
        <w:t>STEER projects a versioned organization → portfolio → product → pod topology, with an organization-level specialist pool. The operating repository declares governance and inheritance; each product names one home repository for item chains. Org Admins manage tenant identities, agents, keys, budgets, and defaults; Portfolio Leads sign mission briefs; Product Stewards exist when multiple pods share a product; the four pod accountabilities run the loop.</w:t>
      </w:r>
    </w:p>
    <w:p>
      <w:pPr>
        <w:spacing w:after="160" w:line="274"/>
      </w:pPr>
      <w:r>
        <w:rPr>
          <w:color w:val="1a1a1a"/>
          <w:sz w:val="22"/>
          <w:szCs w:val="22"/>
        </w:rPr>
        <w:t>People and agents are identities assigned to explicit hats. One person may hold every hat. Capacity rolls up per human across pods and hats, while tenant boundaries isolate memory, keys, sandboxes, and evidence. Stack Packs make product stack choices operational, and readiness scans turn brownfield gaps into on-ramp briefs.</w:t>
      </w:r>
    </w:p>
    <w:p>
      <w:pPr>
        <w:pBdr>
          <w:bottom w:val="single" w:color="2f4bd0" w:sz="8" w:space="4"/>
        </w:pBdr>
        <w:spacing w:after="200"/>
      </w:pPr>
      <w:r>
        <w:rPr>
          <w:sz w:val="2"/>
          <w:szCs w:val="2"/>
        </w:rPr>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Three Surfaces</w:t>
      </w:r>
    </w:p>
    <w:p>
      <w:pPr>
        <w:spacing w:after="160" w:line="274"/>
      </w:pPr>
      <w:r>
        <w:rPr>
          <w:color w:val="1a1a1a"/>
          <w:sz w:val="22"/>
          <w:szCs w:val="22"/>
        </w:rPr>
        <w:t>An intent is a candidate brief in the intent backlog. It becomes a work item only when the Product Lead pulls it into flight against the visible WIP limit for the responsible human across every pod and hat they hold. This boundary absorbs machine-speed supply without allowing it to flood human-speed judgment.</w:t>
      </w:r>
    </w:p>
    <w:p>
      <w:pPr>
        <w:spacing w:after="160" w:line="274"/>
      </w:pPr>
      <w:r>
        <w:rPr>
          <w:color w:val="1a1a1a"/>
          <w:sz w:val="22"/>
          <w:szCs w:val="22"/>
        </w:rPr>
        <w:t xml:space="preserve">Every role home preserves the same attention order: the decision inbox for what needs judgment now, triggered candidates for what could enter next, and an ambient in-motion pane watched by aging bands. The platform projects these surfaces from the chain; it stores no private status. See STEER Practice Note 3, The Three Surfaces.</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Signals, tickets, and band breaches become draft briefs; the Product Lead pulls work into flight deliberately (WIP is personal framing capacity across pods and hats)</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Test agent drafts the exam; a fresh-context critic attacks it; timing tiers with risk;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rPr>
          <w:color w:val="1a1a1a"/>
          <w:sz w:val="22"/>
          <w:szCs w:val="22"/>
        </w:rPr>
        <w:t>Flow stops for a human signature at exactly three points; everything between them moves at machine speed. Gate 1: what are we building, and why. Gate 2: what does provably done look like. Gate 3: does the evidence support release. Each signature is an authenticated approval binding identity, active hat, sequence position, and artifact revision. Gates tier by risk domain and operating profile. Commercial default-closed work requires a passing fresh-context Critic, zero unresolved findings, and a separate-session Gate 3 second look. Regulated default-closed work requires two distinct humans. One invariant never tiers: the agents that build can never edit the exam.</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Greenfield products may use explicit leading indicators until production telemetry exists; these render as greenfield rather than falsely measurable. Human hours per item trend to the accountability floor while guardrails hold.</w:t>
      </w:r>
    </w:p>
    <w:p>
      <w:pPr>
        <w:pStyle w:val="Heading1"/>
        <w:pageBreakBefore/>
        <w:spacing w:before="340" w:after="60"/>
      </w:pPr>
      <w:r>
        <w:rPr>
          <w:b/>
          <w:color w:val="1A1A1A"/>
          <w:sz w:val="30"/>
        </w:rPr>
        <w:t>Sizing and Scoping</w:t>
      </w:r>
    </w:p>
    <w:p>
      <w:pPr>
        <w:spacing w:after="160" w:line="274" w:lineRule="auto"/>
      </w:pPr>
      <w:r>
        <w:rPr>
          <w:color w:val="1A1A1A"/>
          <w:sz w:val="22"/>
        </w:rPr>
      </w:r>
    </w:p>
    <w:p>
      <w:pPr>
        <w:spacing w:after="160" w:line="274" w:lineRule="auto"/>
      </w:pPr>
      <w:r>
        <w:rPr>
          <w:color w:val="1A1A1A"/>
          <w:sz w:val="22"/>
        </w:rPr>
        <w:t>STEER sizes ambiguity, not agent effort. At Frame, a brief is right-sized only when it can be expressed as one outcome, one independently authored exam, and one coherent shape. If the exam cannot be written crisply, split the brief before Gate 1. Scope then freezes at Gate 1: a new want must return as a revision through the gate or become a new brief.</w:t>
      </w:r>
    </w:p>
    <w:p>
      <w:pPr>
        <w:spacing w:after="160" w:line="274" w:lineRule="auto"/>
      </w:pPr>
      <w:r>
        <w:rPr>
          <w:color w:val="1A1A1A"/>
          <w:sz w:val="22"/>
        </w:rPr>
        <w:t>Engineer adds a second alarm: a plan that sprawls across roughly twenty files and four systems is a signal to split at a user path, domain tag, interface seam, or legacy on-ramp. Builders implement to the signed exam and cannot expand or edit it.</w:t>
      </w:r>
    </w:p>
    <w:p>
      <w:pPr>
        <w:spacing w:after="160" w:line="274" w:lineRule="auto"/>
      </w:pPr>
      <w:r>
        <w:rPr>
          <w:color w:val="1A1A1A"/>
          <w:sz w:val="22"/>
        </w:rPr>
        <w:t>Forecasting uses cycle-time percentiles by brief shape, normally the 85th percentile, while aging replaces sprint rollover: each Flight Board state has a historical cycle-time band, and a breach escalates to a huddle. Real deadlines enter the brief as constraints, never as estimates. See STEER Practice Note 1, Sizing and Scoping Work in STEER, for the complete operating guidance.</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exam-writability, scope alarms, aging bands, and percentile forecasting</w:t>
      </w:r>
    </w:p>
    <w:p>
      <w:pPr>
        <w:pStyle w:val="ListParagraph"/>
        <w:numPr>
          <w:ilvl w:val="0"/>
          <w:numId w:val="2"/>
        </w:numPr>
        <w:spacing w:after="80" w:line="268"/>
      </w:pPr>
      <w:r>
        <w:rPr>
          <w:b/>
          <w:color w:val="1A1A1A"/>
          <w:sz w:val="20"/>
        </w:rPr>
        <w:t>STEER Practice Note 2 · Providing Intent · How: interviews, rendered drafts, open questions, and meaning-first approval</w:t>
      </w:r>
    </w:p>
    <w:p>
      <w:pPr>
        <w:pStyle w:val="ListParagraph"/>
        <w:numPr>
          <w:ilvl w:val="0"/>
          <w:numId w:val="2"/>
        </w:numPr>
        <w:spacing w:after="80" w:line="268"/>
      </w:pPr>
      <w:r>
        <w:rPr>
          <w:b/>
          <w:color w:val="1A1A1A"/>
          <w:sz w:val="20"/>
        </w:rPr>
        <w:t>STEER Practice Note 3 · The Three Surfaces · How: intent backlog, pull boundary, role home, and protected attention</w:t>
      </w:r>
    </w:p>
    <w:p>
      <w:pPr>
        <w:spacing w:after="0"/>
      </w:pPr>
      <w:r>
        <w:rPr>
          <w:i/>
          <w:iCs/>
          <w:color w:val="6b6b6b"/>
          <w:sz w:val="19"/>
          <w:szCs w:val="19"/>
        </w:rPr>
        <w:t xml:space="preserve">The Guidebook is the complete reference; the Whitepaper is the shareable overview.</w:t>
      </w:r>
    </w:p>
    <w:sectPr>
      <w:footerReference w:type="default" r:id="rId7"/>
      <w:headerReference w:type="default" r:id="rId12"/>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 Id="rId12"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dc:title>STEER Framework v3.1</dc:title>
  <dc:subject>What STEER is: organization structure, artifact chain, plays, gates, and measurement</dc:subject>
</cp:coreProperties>
</file>

<file path=docProps/custom.xml><?xml version="1.0" encoding="utf-8"?>
<Properties xmlns="http://schemas.openxmlformats.org/officeDocument/2006/custom-properties" xmlns:vt="http://schemas.openxmlformats.org/officeDocument/2006/docPropsVTypes"/>
</file>