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caps/>
          <w:color w:val="6b6b6b"/>
          <w:sz w:val="19"/>
          <w:szCs w:val="19"/>
        </w:rPr>
        <w:t xml:space="preserve">STEER practice notes · 2</w:t>
      </w:r>
    </w:p>
    <w:p>
      <w:pPr>
        <w:pBdr>
          <w:bottom w:val="single" w:color="2f4bd0" w:sz="14" w:space="10"/>
        </w:pBdr>
        <w:spacing w:after="50"/>
      </w:pPr>
      <w:r>
        <w:rPr>
          <w:sz w:val="2"/>
          <w:szCs w:val="2"/>
        </w:rPr>
        <w:t xml:space="preserve"/>
      </w:r>
    </w:p>
    <w:p>
      <w:pPr>
        <w:spacing w:after="120" w:before="160"/>
      </w:pPr>
      <w:r>
        <w:rPr>
          <w:b/>
          <w:bCs/>
          <w:color w:val="1a1a1a"/>
          <w:sz w:val="52"/>
          <w:szCs w:val="52"/>
        </w:rPr>
        <w:t xml:space="preserve">Providing Intent</w:t>
      </w:r>
    </w:p>
    <w:p>
      <w:pPr>
        <w:spacing w:after="210"/>
      </w:pPr>
      <w:r>
        <w:rPr>
          <w:color w:val="2f4bd0"/>
          <w:sz w:val="26"/>
          <w:szCs w:val="26"/>
        </w:rPr>
        <w:t xml:space="preserve">From natural language to committed brief, spec, and exam</w:t>
      </w:r>
    </w:p>
    <w:p>
      <w:pPr>
        <w:spacing w:after="340"/>
      </w:pPr>
      <w:r>
        <w:rPr>
          <w:b/>
          <w:bCs/>
          <w:color w:val="1a1a1a"/>
          <w:sz w:val="21"/>
          <w:szCs w:val="21"/>
        </w:rPr>
        <w:t>Idriss Enayat</w:t>
      </w:r>
      <w:r>
        <w:rPr>
          <w:color w:val="6b6b6b"/>
          <w:sz w:val="20"/>
          <w:szCs w:val="20"/>
        </w:rPr>
        <w:t xml:space="preserve">   ·   Framework v3.1   ·   September 2026</w:t>
      </w:r>
    </w:p>
    <w:p>
      <w:pPr>
        <w:spacing w:after="160" w:line="274"/>
      </w:pPr>
      <w:r>
        <w:rPr>
          <w:color w:val="1a1a1a"/>
          <w:sz w:val="22"/>
          <w:szCs w:val="22"/>
        </w:rPr>
        <w:t xml:space="preserve">The second question every team asks: if the artifacts are version-controlled documents, who writes them? The answer is nobody, in the sense they fear. Humans never compose artifacts. They answer questions and approve drafts. The agent provides structure; the human provides judgment. Recognition is cognitively far cheaper than composition: saying yes, that is what I meant is easy, and writing a spec is hard. STEER is built on that asymmetry.</w:t>
      </w:r>
    </w:p>
    <w:p>
      <w:pPr>
        <w:pStyle w:val="Heading1"/>
        <w:spacing w:after="60" w:before="340"/>
      </w:pPr>
      <w:r>
        <w:rPr>
          <w:b/>
          <w:bCs/>
          <w:color w:val="1a1a1a"/>
          <w:sz w:val="30"/>
          <w:szCs w:val="30"/>
        </w:rPr>
        <w:t xml:space="preserve">The Governing Rules</w:t>
      </w:r>
    </w:p>
    <w:p>
      <w:pPr>
        <w:pBdr>
          <w:bottom w:val="single" w:color="2f4bd0" w:sz="8" w:space="4"/>
        </w:pBdr>
        <w:spacing w:after="200"/>
      </w:pPr>
      <w:r>
        <w:rPr>
          <w:sz w:val="2"/>
          <w:szCs w:val="2"/>
        </w:rPr>
        <w:t xml:space="preserve"/>
      </w:r>
    </w:p>
    <w:p>
      <w:pPr>
        <w:pStyle w:val="ListParagraph"/>
        <w:numPr>
          <w:ilvl w:val="0"/>
          <w:numId w:val="2"/>
        </w:numPr>
        <w:spacing w:after="92" w:line="272"/>
      </w:pPr>
      <w:r>
        <w:rPr>
          <w:b/>
          <w:bCs/>
          <w:color w:val="1a1a1a"/>
          <w:sz w:val="22"/>
          <w:szCs w:val="22"/>
        </w:rPr>
        <w:t xml:space="preserve">Interview, not form: </w:t>
      </w:r>
      <w:r>
        <w:rPr>
          <w:color w:val="1a1a1a"/>
          <w:sz w:val="22"/>
          <w:szCs w:val="22"/>
        </w:rPr>
        <w:t xml:space="preserve">the agent interviews backward from the template, asking the questions a great analyst would ask, and writes the artifact from the answers. The human corrects a rendered draft, never a raw file. No git, no markdown, no template is ever visible to an originator.</w:t>
      </w:r>
    </w:p>
    <w:p>
      <w:pPr>
        <w:pStyle w:val="ListParagraph"/>
        <w:numPr>
          <w:ilvl w:val="0"/>
          <w:numId w:val="2"/>
        </w:numPr>
        <w:spacing w:after="92" w:line="272"/>
      </w:pPr>
      <w:r>
        <w:rPr>
          <w:b/>
          <w:bCs/>
          <w:color w:val="1a1a1a"/>
          <w:sz w:val="22"/>
          <w:szCs w:val="22"/>
        </w:rPr>
        <w:t xml:space="preserve">No invention: </w:t>
      </w:r>
      <w:r>
        <w:rPr>
          <w:color w:val="1a1a1a"/>
          <w:sz w:val="22"/>
          <w:szCs w:val="22"/>
        </w:rPr>
        <w:t xml:space="preserve">anything the human did not say lands in Open Questions, never in fabricated specifics. System names must resolve against real context. A drafting agent that fills gaps with plausible inventions is a defect, and the drafting assistant carries its own eval suite to prove it does not.</w:t>
      </w:r>
    </w:p>
    <w:p>
      <w:pPr>
        <w:pStyle w:val="ListParagraph"/>
        <w:numPr>
          <w:ilvl w:val="0"/>
          <w:numId w:val="2"/>
        </w:numPr>
        <w:spacing w:after="92" w:line="272"/>
      </w:pPr>
      <w:r>
        <w:rPr>
          <w:b/>
          <w:bCs/>
          <w:color w:val="1a1a1a"/>
          <w:sz w:val="22"/>
          <w:szCs w:val="22"/>
        </w:rPr>
        <w:t xml:space="preserve">Ambiguity surfaces: </w:t>
      </w:r>
      <w:r>
        <w:rPr>
          <w:color w:val="1a1a1a"/>
          <w:sz w:val="22"/>
          <w:szCs w:val="22"/>
        </w:rPr>
        <w:t xml:space="preserve">a vague answer produces a flagged question, not a smoothed-over sentence. Ambiguity dying at Frame is the framework's cheapest win, so the intake agent is rewarded for surfacing it, never for hiding it.</w:t>
      </w:r>
    </w:p>
    <w:p>
      <w:pPr>
        <w:pStyle w:val="ListParagraph"/>
        <w:numPr>
          <w:ilvl w:val="0"/>
          <w:numId w:val="2"/>
        </w:numPr>
        <w:spacing w:after="92" w:line="272"/>
      </w:pPr>
      <w:r>
        <w:rPr>
          <w:b/>
          <w:bCs/>
          <w:color w:val="1a1a1a"/>
          <w:sz w:val="22"/>
          <w:szCs w:val="22"/>
        </w:rPr>
        <w:t>Measurement state is explicit: existing products name a baseline, denominator, and observation window. A greenfield product may use an explicit leading indicator until production telemetry exists; unresolved measurement remains an Open Question and is never disguised as measurable-today.</w:t>
      </w:r>
      <w:r>
        <w:rPr>
          <w:color w:val="1a1a1a"/>
          <w:sz w:val="22"/>
          <w:szCs w:val="22"/>
        </w:rPr>
      </w:r>
    </w:p>
    <w:p>
      <w:pPr>
        <w:pStyle w:val="ListParagraph"/>
        <w:numPr>
          <w:ilvl w:val="0"/>
          <w:numId w:val="2"/>
        </w:numPr>
        <w:spacing w:after="92" w:line="272"/>
      </w:pPr>
      <w:r>
        <w:rPr>
          <w:b/>
          <w:bCs/>
          <w:color w:val="1a1a1a"/>
          <w:sz w:val="22"/>
          <w:szCs w:val="22"/>
        </w:rPr>
        <w:t xml:space="preserve">Corrections are training data: </w:t>
      </w:r>
      <w:r>
        <w:rPr>
          <w:color w:val="1a1a1a"/>
          <w:sz w:val="22"/>
          <w:szCs w:val="22"/>
        </w:rPr>
        <w:t xml:space="preserve">when humans fix the same drafting mistake twice, the correction goes into the versioned context files. Drafts converge on how your organization actually talks about its systems.</w:t>
      </w:r>
    </w:p>
    <w:p>
      <w:pPr>
        <w:pStyle w:val="Heading1"/>
        <w:spacing w:after="60" w:before="340"/>
      </w:pPr>
      <w:r>
        <w:rPr>
          <w:b/>
          <w:bCs/>
          <w:color w:val="1a1a1a"/>
          <w:sz w:val="30"/>
          <w:szCs w:val="30"/>
        </w:rPr>
        <w:t xml:space="preserve">Stage by Stage</w:t>
      </w:r>
    </w:p>
    <w:p>
      <w:pPr>
        <w:pBdr>
          <w:bottom w:val="single" w:color="2f4bd0" w:sz="8" w:space="4"/>
        </w:pBdr>
        <w:spacing w:after="200"/>
      </w:pPr>
      <w:r>
        <w:rPr>
          <w:sz w:val="2"/>
          <w:szCs w:val="2"/>
        </w:rPr>
        <w:t xml:space="preserve"/>
      </w:r>
    </w:p>
    <w:p>
      <w:pPr>
        <w:pStyle w:val="Heading2"/>
        <w:spacing w:after="115" w:before="230"/>
      </w:pPr>
      <w:r>
        <w:rPr>
          <w:b/>
          <w:bCs/>
          <w:color w:val="2f4bd0"/>
          <w:sz w:val="24"/>
          <w:szCs w:val="24"/>
        </w:rPr>
        <w:t xml:space="preserve">The brief: an interview</w:t>
      </w:r>
    </w:p>
    <w:p>
      <w:pPr>
        <w:spacing w:after="160" w:line="274"/>
      </w:pPr>
      <w:r>
        <w:rPr>
          <w:color w:val="1a1a1a"/>
          <w:sz w:val="22"/>
          <w:szCs w:val="22"/>
        </w:rPr>
        <w:t xml:space="preserve">The originator starts with whatever they have: one sentence, a rant in a channel, a voice note, a forwarded email, a meeting snippet. The intake agent interviews toward completeness: who exactly hits this? What would success look like, and how would we measure it? Which systems does this touch? Which constraints are real? Is the deadline contractual or a preference? The human answers in plain language; the agent drafts the brief behind the scenes; the human corrects the rendered draft the way they would correct a colleague. Save commits the artifact under their identity. Entry points multiply because the interview normalizes them all: a breached control band, a support ticket, and a hallway idea all become the same artifact.</w:t>
      </w:r>
    </w:p>
    <w:p>
      <w:pPr>
        <w:pStyle w:val="Heading2"/>
        <w:spacing w:after="115" w:before="230"/>
      </w:pPr>
      <w:r>
        <w:rPr>
          <w:b/>
          <w:bCs/>
          <w:color w:val="2f4bd0"/>
          <w:sz w:val="24"/>
          <w:szCs w:val="24"/>
        </w:rPr>
        <w:t xml:space="preserve">The spec: a dialogue over options</w:t>
      </w:r>
    </w:p>
    <w:p>
      <w:pPr>
        <w:spacing w:after="160" w:line="274"/>
      </w:pPr>
      <w:r>
        <w:rPr>
          <w:color w:val="1a1a1a"/>
          <w:sz w:val="22"/>
          <w:szCs w:val="22"/>
        </w:rPr>
        <w:t xml:space="preserve">After Gate 1, the Architect reads the accepted brief, the codebase, and the context files, and returns two or three implementation options with trade-offs in plain language: option A reuses the existing service and ships fastest but inherits its refresh cycle; option B decouples but adds a migration. The human picks, adjusts, and asks what breaks. The agent commits the spec from the conversation, concerns flagged to their policy owners. The human made a decision; the agent did the writing.</w:t>
      </w:r>
    </w:p>
    <w:p>
      <w:pPr>
        <w:pStyle w:val="Heading2"/>
        <w:spacing w:after="115" w:before="230"/>
      </w:pPr>
      <w:r>
        <w:rPr>
          <w:b/>
          <w:bCs/>
          <w:color w:val="2f4bd0"/>
          <w:sz w:val="24"/>
          <w:szCs w:val="24"/>
        </w:rPr>
        <w:t xml:space="preserve">The exam: meaning first, code behind it</w:t>
      </w:r>
    </w:p>
    <w:p>
      <w:pPr>
        <w:spacing w:after="160" w:line="274"/>
      </w:pPr>
      <w:r>
        <w:rPr>
          <w:color w:val="1a1a1a"/>
          <w:sz w:val="22"/>
          <w:szCs w:val="22"/>
        </w:rPr>
        <w:t xml:space="preserve">The Test Agent converts brief plus spec into executable tests and evals, but presents them as meaning: given an international customer with a cart over fifty dollars, when shipping calculates, then the estimate appears before the payment step and matches the carrier quote within two percent. The Tech Lead reads that, judges whether it captures the intent, and pushes back in plain language (add the case where the carrier times out). The Critic attacks it for loopholes. The code behind each case exists, but the human signs the meaning. This is the moment natural language becomes a binding, machine-checkable contract, and it is why the exam can be owned by humans who never read test code.</w:t>
      </w:r>
    </w:p>
    <w:p>
      <w:pPr>
        <w:pStyle w:val="Heading2"/>
        <w:spacing w:after="115" w:before="230"/>
      </w:pPr>
      <w:r>
        <w:rPr>
          <w:b/>
          <w:bCs/>
          <w:color w:val="2f4bd0"/>
          <w:sz w:val="24"/>
          <w:szCs w:val="24"/>
        </w:rPr>
        <w:t xml:space="preserve">The plan: an interrogation</w:t>
      </w:r>
    </w:p>
    <w:p>
      <w:pPr>
        <w:spacing w:after="160" w:line="274"/>
      </w:pPr>
      <w:r>
        <w:rPr>
          <w:color w:val="1a1a1a"/>
          <w:sz w:val="22"/>
          <w:szCs w:val="22"/>
        </w:rPr>
        <w:t xml:space="preserve">The Builder's read-only pass produces the plan: files, order, risks. The engineer interrogates it conversationally (which step is riskiest? what happens to in-flight orders during the migration?) until someone who never saw the conversation could implement from it. Approval dispatches the build.</w:t>
      </w:r>
    </w:p>
    <w:p>
      <w:pPr>
        <w:pStyle w:val="Heading1"/>
        <w:spacing w:after="60" w:before="340"/>
      </w:pPr>
      <w:r>
        <w:rPr>
          <w:b/>
          <w:bCs/>
          <w:color w:val="1a1a1a"/>
          <w:sz w:val="30"/>
          <w:szCs w:val="30"/>
        </w:rPr>
        <w:t xml:space="preserve">A Worked Example</w:t>
      </w:r>
    </w:p>
    <w:p>
      <w:pPr>
        <w:pBdr>
          <w:bottom w:val="single" w:color="2f4bd0" w:sz="8" w:space="4"/>
        </w:pBdr>
        <w:spacing w:after="200"/>
      </w:pPr>
      <w:r>
        <w:rPr>
          <w:sz w:val="2"/>
          <w:szCs w:val="2"/>
        </w:rPr>
        <w:t xml:space="preserve"/>
      </w:r>
    </w:p>
    <w:p>
      <w:pPr>
        <w:spacing w:after="160" w:line="274"/>
      </w:pPr>
      <w:r>
        <w:rPr>
          <w:color w:val="1a1a1a"/>
          <w:sz w:val="22"/>
          <w:szCs w:val="22"/>
        </w:rPr>
        <w:t xml:space="preserve">Originator, in a channel: customers keep abandoning checkout when shipping costs show up. Intake agent: which customers, all or a segment? Originator: mostly international. Agent: what would success look like? Originator: they see the real cost early and fewer of them bail. Agent: how would we measure fewer? Originator: checkout completion for international carts, I guess. Agent: does this touch anything besides checkout? Originator: the carrier rates service, probably. The draft brief that renders: problem (international customers abandon checkout at the shipping-cost step), proposed outcome (show landed cost before the payment step), outcome contract (international checkout completion rate, baseline captured, thirty-day window), affected systems (checkout, carrier rates service), open questions (does landed cost include duties? which carriers first?). Nothing invented; two honest open questions; measurable on day one after baseline capture. The originator fixes one line, hits save, and the Product Lead sees a new candidate in the intent home.</w:t>
      </w:r>
    </w:p>
    <w:p>
      <w:pPr>
        <w:pStyle w:val="Heading1"/>
        <w:spacing w:after="60" w:before="340"/>
      </w:pPr>
      <w:r>
        <w:rPr>
          <w:b/>
          <w:bCs/>
          <w:color w:val="1a1a1a"/>
          <w:sz w:val="30"/>
          <w:szCs w:val="30"/>
        </w:rPr>
        <w:t xml:space="preserve">What This Replaces</w:t>
      </w:r>
    </w:p>
    <w:p>
      <w:pPr>
        <w:pBdr>
          <w:bottom w:val="single" w:color="2f4bd0" w:sz="8" w:space="4"/>
        </w:pBd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6310"/>
      </w:tblGrid>
      <w:tr>
        <w:tc>
          <w:tcPr>
            <w:tcW w:type="dxa" w:w="3050"/>
            <w:shd w:fill="e8e8e0" w:val="clear"/>
            <w:tcMar>
              <w:top w:type="dxa" w:w="85"/>
              <w:left w:type="dxa" w:w="115"/>
              <w:bottom w:type="dxa" w:w="85"/>
              <w:right w:type="dxa" w:w="115"/>
            </w:tcMar>
          </w:tcPr>
          <w:p>
            <w:pPr>
              <w:spacing w:after="0" w:line="246"/>
            </w:pPr>
            <w:r>
              <w:rPr>
                <w:b/>
                <w:bCs/>
                <w:color w:val="1a1a1a"/>
                <w:sz w:val="19"/>
                <w:szCs w:val="19"/>
              </w:rPr>
              <w:t xml:space="preserve">Old world</w:t>
            </w:r>
          </w:p>
        </w:tc>
        <w:tc>
          <w:tcPr>
            <w:tcW w:type="dxa" w:w="6310"/>
            <w:shd w:fill="e8e8e0" w:val="clear"/>
            <w:tcMar>
              <w:top w:type="dxa" w:w="85"/>
              <w:left w:type="dxa" w:w="115"/>
              <w:bottom w:type="dxa" w:w="85"/>
              <w:right w:type="dxa" w:w="115"/>
            </w:tcMar>
          </w:tcPr>
          <w:p>
            <w:pPr>
              <w:spacing w:after="0" w:line="246"/>
            </w:pPr>
            <w:r>
              <w:rPr>
                <w:b/>
                <w:bCs/>
                <w:color w:val="1a1a1a"/>
                <w:sz w:val="19"/>
                <w:szCs w:val="19"/>
              </w:rPr>
              <w:t xml:space="preserve">STEER</w:t>
            </w:r>
          </w:p>
        </w:tc>
      </w:tr>
      <w:tr>
        <w:tc>
          <w:tcPr>
            <w:tcW w:type="dxa" w:w="3050"/>
            <w:shd w:fill="f7f7f2" w:val="clear"/>
            <w:tcMar>
              <w:top w:type="dxa" w:w="85"/>
              <w:left w:type="dxa" w:w="115"/>
              <w:bottom w:type="dxa" w:w="85"/>
              <w:right w:type="dxa" w:w="115"/>
            </w:tcMar>
          </w:tcPr>
          <w:p>
            <w:pPr>
              <w:spacing w:after="0" w:line="246"/>
            </w:pPr>
            <w:r>
              <w:rPr>
                <w:b w:val="false"/>
                <w:bCs w:val="false"/>
                <w:color w:val="1a1a1a"/>
                <w:sz w:val="19"/>
                <w:szCs w:val="19"/>
              </w:rPr>
              <w:t xml:space="preserve">Product owner writes stories; quality varies by author</w:t>
            </w:r>
          </w:p>
        </w:tc>
        <w:tc>
          <w:tcPr>
            <w:tcW w:type="dxa" w:w="6310"/>
            <w:shd w:fill="f7f7f2" w:val="clear"/>
            <w:tcMar>
              <w:top w:type="dxa" w:w="85"/>
              <w:left w:type="dxa" w:w="115"/>
              <w:bottom w:type="dxa" w:w="85"/>
              <w:right w:type="dxa" w:w="115"/>
            </w:tcMar>
          </w:tcPr>
          <w:p>
            <w:pPr>
              <w:spacing w:after="0" w:line="246"/>
            </w:pPr>
            <w:r>
              <w:rPr>
                <w:b w:val="false"/>
                <w:bCs w:val="false"/>
                <w:color w:val="1a1a1a"/>
                <w:sz w:val="19"/>
                <w:szCs w:val="19"/>
              </w:rPr>
              <w:t xml:space="preserve">Agent interviews toward a complete template; quality is structural</w:t>
            </w:r>
          </w:p>
        </w:tc>
      </w:tr>
      <w:tr>
        <w:tc>
          <w:tcPr>
            <w:tcW w:type="dxa" w:w="3050"/>
            <w:tcMar>
              <w:top w:type="dxa" w:w="85"/>
              <w:left w:type="dxa" w:w="115"/>
              <w:bottom w:type="dxa" w:w="85"/>
              <w:right w:type="dxa" w:w="115"/>
            </w:tcMar>
          </w:tcPr>
          <w:p>
            <w:pPr>
              <w:spacing w:after="0" w:line="246"/>
            </w:pPr>
            <w:r>
              <w:rPr>
                <w:b w:val="false"/>
                <w:bCs w:val="false"/>
                <w:color w:val="1a1a1a"/>
                <w:sz w:val="19"/>
                <w:szCs w:val="19"/>
              </w:rPr>
              <w:t xml:space="preserve">Requirements meetings to extract details</w:t>
            </w:r>
          </w:p>
        </w:tc>
        <w:tc>
          <w:tcPr>
            <w:tcW w:type="dxa" w:w="6310"/>
            <w:tcMar>
              <w:top w:type="dxa" w:w="85"/>
              <w:left w:type="dxa" w:w="115"/>
              <w:bottom w:type="dxa" w:w="85"/>
              <w:right w:type="dxa" w:w="115"/>
            </w:tcMar>
          </w:tcPr>
          <w:p>
            <w:pPr>
              <w:spacing w:after="0" w:line="246"/>
            </w:pPr>
            <w:r>
              <w:rPr>
                <w:b w:val="false"/>
                <w:bCs w:val="false"/>
                <w:color w:val="1a1a1a"/>
                <w:sz w:val="19"/>
                <w:szCs w:val="19"/>
              </w:rPr>
              <w:t xml:space="preserve">The interview is the extraction, asynchronous and per item</w:t>
            </w:r>
          </w:p>
        </w:tc>
      </w:tr>
      <w:tr>
        <w:tc>
          <w:tcPr>
            <w:tcW w:type="dxa" w:w="3050"/>
            <w:shd w:fill="f7f7f2" w:val="clear"/>
            <w:tcMar>
              <w:top w:type="dxa" w:w="85"/>
              <w:left w:type="dxa" w:w="115"/>
              <w:bottom w:type="dxa" w:w="85"/>
              <w:right w:type="dxa" w:w="115"/>
            </w:tcMar>
          </w:tcPr>
          <w:p>
            <w:pPr>
              <w:spacing w:after="0" w:line="246"/>
            </w:pPr>
            <w:r>
              <w:rPr>
                <w:b w:val="false"/>
                <w:bCs w:val="false"/>
                <w:color w:val="1a1a1a"/>
                <w:sz w:val="19"/>
                <w:szCs w:val="19"/>
              </w:rPr>
              <w:t xml:space="preserve">Acceptance criteria as prose, interpreted at review</w:t>
            </w:r>
          </w:p>
        </w:tc>
        <w:tc>
          <w:tcPr>
            <w:tcW w:type="dxa" w:w="6310"/>
            <w:shd w:fill="f7f7f2" w:val="clear"/>
            <w:tcMar>
              <w:top w:type="dxa" w:w="85"/>
              <w:left w:type="dxa" w:w="115"/>
              <w:bottom w:type="dxa" w:w="85"/>
              <w:right w:type="dxa" w:w="115"/>
            </w:tcMar>
          </w:tcPr>
          <w:p>
            <w:pPr>
              <w:spacing w:after="0" w:line="246"/>
            </w:pPr>
            <w:r>
              <w:rPr>
                <w:b w:val="false"/>
                <w:bCs w:val="false"/>
                <w:color w:val="1a1a1a"/>
                <w:sz w:val="19"/>
                <w:szCs w:val="19"/>
              </w:rPr>
              <w:t xml:space="preserve">Exam cases signed as meaning, executed as code</w:t>
            </w:r>
          </w:p>
        </w:tc>
      </w:tr>
      <w:tr>
        <w:tc>
          <w:tcPr>
            <w:tcW w:type="dxa" w:w="3050"/>
            <w:tcMar>
              <w:top w:type="dxa" w:w="85"/>
              <w:left w:type="dxa" w:w="115"/>
              <w:bottom w:type="dxa" w:w="85"/>
              <w:right w:type="dxa" w:w="115"/>
            </w:tcMar>
          </w:tcPr>
          <w:p>
            <w:pPr>
              <w:spacing w:after="0" w:line="246"/>
            </w:pPr>
            <w:r>
              <w:rPr>
                <w:b w:val="false"/>
                <w:bCs w:val="false"/>
                <w:color w:val="1a1a1a"/>
                <w:sz w:val="19"/>
                <w:szCs w:val="19"/>
              </w:rPr>
              <w:t xml:space="preserve">Business analysts translate business to engineering</w:t>
            </w:r>
          </w:p>
        </w:tc>
        <w:tc>
          <w:tcPr>
            <w:tcW w:type="dxa" w:w="6310"/>
            <w:tcMar>
              <w:top w:type="dxa" w:w="85"/>
              <w:left w:type="dxa" w:w="115"/>
              <w:bottom w:type="dxa" w:w="85"/>
              <w:right w:type="dxa" w:w="115"/>
            </w:tcMar>
          </w:tcPr>
          <w:p>
            <w:pPr>
              <w:spacing w:after="0" w:line="246"/>
            </w:pPr>
            <w:r>
              <w:rPr>
                <w:b w:val="false"/>
                <w:bCs w:val="false"/>
                <w:color w:val="1a1a1a"/>
                <w:sz w:val="19"/>
                <w:szCs w:val="19"/>
              </w:rPr>
              <w:t xml:space="preserve">The agent translates; the analyst's judgment moves into Gate 1</w:t>
            </w:r>
          </w:p>
        </w:tc>
      </w:tr>
      <w:tr>
        <w:tc>
          <w:tcPr>
            <w:tcW w:type="dxa" w:w="3050"/>
            <w:shd w:fill="f7f7f2" w:val="clear"/>
            <w:tcMar>
              <w:top w:type="dxa" w:w="85"/>
              <w:left w:type="dxa" w:w="115"/>
              <w:bottom w:type="dxa" w:w="85"/>
              <w:right w:type="dxa" w:w="115"/>
            </w:tcMar>
          </w:tcPr>
          <w:p>
            <w:pPr>
              <w:spacing w:after="0" w:line="246"/>
            </w:pPr>
            <w:r>
              <w:rPr>
                <w:b w:val="false"/>
                <w:bCs w:val="false"/>
                <w:color w:val="1a1a1a"/>
                <w:sz w:val="19"/>
                <w:szCs w:val="19"/>
              </w:rPr>
              <w:t xml:space="preserve">Requests lost in channels and inboxes</w:t>
            </w:r>
          </w:p>
        </w:tc>
        <w:tc>
          <w:tcPr>
            <w:tcW w:type="dxa" w:w="6310"/>
            <w:shd w:fill="f7f7f2" w:val="clear"/>
            <w:tcMar>
              <w:top w:type="dxa" w:w="85"/>
              <w:left w:type="dxa" w:w="115"/>
              <w:bottom w:type="dxa" w:w="85"/>
              <w:right w:type="dxa" w:w="115"/>
            </w:tcMar>
          </w:tcPr>
          <w:p>
            <w:pPr>
              <w:spacing w:after="0" w:line="246"/>
            </w:pPr>
            <w:r>
              <w:rPr>
                <w:b w:val="false"/>
                <w:bCs w:val="false"/>
                <w:color w:val="1a1a1a"/>
                <w:sz w:val="19"/>
                <w:szCs w:val="19"/>
              </w:rPr>
              <w:t xml:space="preserve">Every entry point normalizes into a draft brief in one intent home</w:t>
            </w:r>
          </w:p>
        </w:tc>
      </w:tr>
    </w:tbl>
    <w:p>
      <w:pPr>
        <w:spacing w:before="160"/>
      </w:pPr>
      <w:r>
        <w:rPr>
          <w:color w:val="1a1a1a"/>
          <w:sz w:val="22"/>
          <w:szCs w:val="22"/>
        </w:rPr>
        <w:t xml:space="preserve">The template guarantees completeness. The human guarantees truth. That division of labor is the whole design.</w:t>
      </w:r>
    </w:p>
    <w:p>
      <w:pPr>
        <w:spacing w:after="90" w:before="240"/>
      </w:pPr>
      <w:r>
        <w:rPr>
          <w:b/>
          <w:bCs/>
          <w:color w:val="1a1a1a"/>
          <w:sz w:val="21"/>
          <w:szCs w:val="21"/>
        </w:rPr>
        <w:t xml:space="preserve">The STEER document set</w:t>
      </w:r>
    </w:p>
    <w:p>
      <w:pPr>
        <w:pStyle w:val="ListParagraph"/>
        <w:numPr>
          <w:ilvl w:val="0"/>
          <w:numId w:val="2"/>
        </w:numPr>
        <w:spacing w:after="80" w:line="268"/>
      </w:pPr>
      <w:r>
        <w:rPr>
          <w:b/>
          <w:bCs/>
          <w:color w:val="1a1a1a"/>
          <w:sz w:val="20"/>
          <w:szCs w:val="20"/>
        </w:rPr>
        <w:t xml:space="preserve">STEER Methodology</w:t>
      </w:r>
      <w:r>
        <w:rPr>
          <w:color w:val="333333"/>
          <w:sz w:val="20"/>
          <w:szCs w:val="20"/>
        </w:rPr>
        <w:t xml:space="preserve"> · Why: the constraint shift, the values, the principles that govern every decision</w:t>
      </w:r>
    </w:p>
    <w:p>
      <w:pPr>
        <w:pStyle w:val="ListParagraph"/>
        <w:numPr>
          <w:ilvl w:val="0"/>
          <w:numId w:val="2"/>
        </w:numPr>
        <w:spacing w:after="80" w:line="268"/>
      </w:pPr>
      <w:r>
        <w:rPr>
          <w:b/>
          <w:bCs/>
          <w:color w:val="1a1a1a"/>
          <w:sz w:val="20"/>
          <w:szCs w:val="20"/>
        </w:rPr>
        <w:t xml:space="preserve">STEER Framework</w:t>
      </w:r>
      <w:r>
        <w:rPr>
          <w:color w:val="333333"/>
          <w:sz w:val="20"/>
          <w:szCs w:val="20"/>
        </w:rPr>
        <w:t xml:space="preserve"> · What: the structure, the artifact chain, the plays, the gates, the metrics</w:t>
      </w:r>
    </w:p>
    <w:p>
      <w:pPr>
        <w:pStyle w:val="ListParagraph"/>
        <w:numPr>
          <w:ilvl w:val="0"/>
          <w:numId w:val="2"/>
        </w:numPr>
        <w:spacing w:after="80" w:line="268"/>
      </w:pPr>
      <w:r>
        <w:rPr>
          <w:b/>
          <w:bCs/>
          <w:color w:val="1a1a1a"/>
          <w:sz w:val="20"/>
          <w:szCs w:val="20"/>
        </w:rPr>
        <w:t xml:space="preserve">STEER Operating Model</w:t>
      </w:r>
      <w:r>
        <w:rPr>
          <w:color w:val="333333"/>
          <w:sz w:val="20"/>
          <w:szCs w:val="20"/>
        </w:rPr>
        <w:t xml:space="preserve"> · How: accountabilities, decision rights, trust policy, culture, and scale</w:t>
      </w:r>
    </w:p>
    <w:p>
      <w:pPr>
        <w:spacing w:after="0"/>
      </w:pPr>
      <w:r>
        <w:rPr>
          <w:i/>
          <w:iCs/>
          <w:color w:val="6b6b6b"/>
          <w:sz w:val="19"/>
          <w:szCs w:val="19"/>
        </w:rPr>
        <w:t xml:space="preserve">The Guidebook is the complete reference; the Whitepaper is the shareable overview.</w:t>
      </w:r>
    </w:p>
    <w:sectPr>
      <w:footerReference w:type="default" r:id="rId7"/>
      <w:headerReference w:type="default" r:id="rId9"/>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STEER Practice Notes 2 · Providing Intent · Idriss Enayat · © 2026    ·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2026-08-28T21:06:55.520Z</dcterms:created>
  <dcterms:modified xsi:type="dcterms:W3CDTF">2026-08-28T21:06:55.542Z</dcterms:modified>
  <dc:title>STEER Practice Note 2 — Providing Intent v3.1</dc:title>
  <dc:subject>Interview-first authoring, truthful drafts, and explicit measurement state</dc:subject>
</cp:coreProperties>
</file>

<file path=docProps/custom.xml><?xml version="1.0" encoding="utf-8"?>
<Properties xmlns="http://schemas.openxmlformats.org/officeDocument/2006/custom-properties" xmlns:vt="http://schemas.openxmlformats.org/officeDocument/2006/docPropsVTypes"/>
</file>