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pPr>
      <w:r>
        <w:rPr>
          <w:caps/>
          <w:color w:val="6b6b6b"/>
          <w:sz w:val="19"/>
          <w:szCs w:val="19"/>
        </w:rPr>
        <w:t xml:space="preserve">STEER practice notes · 3</w:t>
      </w:r>
    </w:p>
    <w:p>
      <w:pPr>
        <w:pBdr>
          <w:bottom w:val="single" w:color="2f4bd0" w:sz="14" w:space="10"/>
        </w:pBdr>
        <w:spacing w:after="50"/>
      </w:pPr>
      <w:r>
        <w:rPr>
          <w:sz w:val="2"/>
          <w:szCs w:val="2"/>
        </w:rPr>
        <w:t xml:space="preserve"/>
      </w:r>
    </w:p>
    <w:p>
      <w:pPr>
        <w:spacing w:after="120" w:before="160"/>
      </w:pPr>
      <w:r>
        <w:rPr>
          <w:b/>
          <w:bCs/>
          <w:color w:val="1a1a1a"/>
          <w:sz w:val="52"/>
          <w:szCs w:val="52"/>
        </w:rPr>
        <w:t xml:space="preserve">The Three Surfaces</w:t>
      </w:r>
    </w:p>
    <w:p>
      <w:pPr>
        <w:spacing w:after="210"/>
      </w:pPr>
      <w:r>
        <w:rPr>
          <w:color w:val="2f4bd0"/>
          <w:sz w:val="26"/>
          <w:szCs w:val="26"/>
        </w:rPr>
        <w:t xml:space="preserve">Intents, work items in flight, and the decision inbox: how humans work day to day</w:t>
      </w:r>
    </w:p>
    <w:p>
      <w:pPr>
        <w:spacing w:after="340"/>
      </w:pPr>
      <w:r>
        <w:rPr>
          <w:b/>
          <w:bCs/>
          <w:color w:val="1a1a1a"/>
          <w:sz w:val="21"/>
          <w:szCs w:val="21"/>
        </w:rPr>
        <w:t>Idriss Enayat</w:t>
      </w:r>
      <w:r>
        <w:rPr>
          <w:color w:val="6b6b6b"/>
          <w:sz w:val="20"/>
          <w:szCs w:val="20"/>
        </w:rPr>
        <w:t xml:space="preserve">   ·   Framework v3.1   ·   September 2026</w:t>
      </w:r>
    </w:p>
    <w:p>
      <w:pPr>
        <w:spacing w:after="160" w:line="274"/>
      </w:pPr>
      <w:r>
        <w:rPr>
          <w:color w:val="1a1a1a"/>
          <w:sz w:val="22"/>
          <w:szCs w:val="22"/>
        </w:rPr>
        <w:t xml:space="preserve">This note defines the day-to-day workspace of STEER's humans, anchored on the Product Lead, and it doubles as a design input for the platform: the surfaces described here are the platform's screens. It also settles a vocabulary question every team asks.</w:t>
      </w:r>
    </w:p>
    <w:p>
      <w:pPr>
        <w:pStyle w:val="Heading1"/>
        <w:spacing w:after="60" w:before="340"/>
      </w:pPr>
      <w:r>
        <w:rPr>
          <w:b/>
          <w:bCs/>
          <w:color w:val="1a1a1a"/>
          <w:sz w:val="30"/>
          <w:szCs w:val="30"/>
        </w:rPr>
        <w:t xml:space="preserve">Intent vs. Work Item</w:t>
      </w:r>
    </w:p>
    <w:p>
      <w:pPr>
        <w:pBdr>
          <w:bottom w:val="single" w:color="2f4bd0" w:sz="8" w:space="4"/>
        </w:pBdr>
        <w:spacing w:after="200"/>
      </w:pPr>
      <w:r>
        <w:rPr>
          <w:sz w:val="2"/>
          <w:szCs w:val="2"/>
        </w:rPr>
        <w:t xml:space="preserve"/>
      </w:r>
    </w:p>
    <w:p>
      <w:pPr>
        <w:spacing w:after="160" w:line="274"/>
      </w:pPr>
      <w:r>
        <w:rPr>
          <w:color w:val="1a1a1a"/>
          <w:sz w:val="22"/>
          <w:szCs w:val="22"/>
        </w:rPr>
        <w:t>An intent is a candidate: a draft brief in the intent backlog, captured and structured but committed to nothing. A work item is an intent the Product Lead has pulled into flight. The pull is the boundary, and it is where the framework's economics live: agents draft intents at near-zero cost from every ticket, band breach, and hallway idea, but work items are scarce by design, because WIP is counted against the responsible human across every pod and accountability hat they hold. If every intent became a work item automatically, machine-speed intake would flood human-speed judgment. The Scrum mapping: intent is the backlog item, work item is committed work, and the pull is the sprint commitment, made per item and continuously instead of per fortnight.</w:t>
      </w:r>
    </w:p>
    <w:p>
      <w:pPr>
        <w:pStyle w:val="Heading1"/>
        <w:spacing w:after="60" w:before="340"/>
      </w:pPr>
      <w:r>
        <w:rPr>
          <w:b/>
          <w:bCs/>
          <w:color w:val="1a1a1a"/>
          <w:sz w:val="30"/>
          <w:szCs w:val="30"/>
        </w:rPr>
        <w:t xml:space="preserve">The Intent Backlog</w:t>
      </w:r>
    </w:p>
    <w:p>
      <w:pPr>
        <w:pBdr>
          <w:bottom w:val="single" w:color="2f4bd0" w:sz="8" w:space="4"/>
        </w:pBdr>
        <w:spacing w:after="200"/>
      </w:pPr>
      <w:r>
        <w:rPr>
          <w:sz w:val="2"/>
          <w:szCs w:val="2"/>
        </w:rPr>
        <w:t xml:space="preserve"/>
      </w:r>
    </w:p>
    <w:p>
      <w:pPr>
        <w:spacing w:after="160" w:line="274"/>
      </w:pPr>
      <w:r>
        <w:rPr>
          <w:color w:val="1a1a1a"/>
          <w:sz w:val="22"/>
          <w:szCs w:val="22"/>
        </w:rPr>
        <w:t xml:space="preserve">A Scrum backlog is supply-starved: humans write few items, so the discipline is grooming what little exists. The intent backlog is supply-flooded, so the discipline inverts: the problem is not feeding the list but protecting the Product Lead's attention from it. Four design consequences follow.</w:t>
      </w:r>
    </w:p>
    <w:p>
      <w:pPr>
        <w:pStyle w:val="ListParagraph"/>
        <w:numPr>
          <w:ilvl w:val="0"/>
          <w:numId w:val="2"/>
        </w:numPr>
        <w:spacing w:after="92" w:line="272"/>
      </w:pPr>
      <w:r>
        <w:rPr>
          <w:b/>
          <w:bCs/>
          <w:color w:val="1a1a1a"/>
          <w:sz w:val="22"/>
          <w:szCs w:val="22"/>
        </w:rPr>
        <w:t>Triage over grooming: no refinement meetings, no estimation sessions. Each intent card carries what a pull decision needs at a glance: the problem, the proposed outcome with a measurement state (measurable-today, greenfield with an explicit leading indicator, or unresolved), domain tags showing which gates it would trigger, provenance (a band breach carries production evidence; a hallway idea carries a name), and duplicate clusters, so ten tickets about one pain read as one signal with weight. Only unresolved measurement blocks a pull.</w:t>
      </w:r>
      <w:r>
        <w:rPr>
          <w:color w:val="1a1a1a"/>
          <w:sz w:val="22"/>
          <w:szCs w:val="22"/>
        </w:rPr>
      </w:r>
    </w:p>
    <w:p>
      <w:pPr>
        <w:pStyle w:val="ListParagraph"/>
        <w:numPr>
          <w:ilvl w:val="0"/>
          <w:numId w:val="2"/>
        </w:numPr>
        <w:spacing w:after="92" w:line="272"/>
      </w:pPr>
      <w:r>
        <w:rPr>
          <w:b/>
          <w:bCs/>
          <w:color w:val="1a1a1a"/>
          <w:sz w:val="22"/>
          <w:szCs w:val="22"/>
        </w:rPr>
        <w:t xml:space="preserve">Four fast actions: </w:t>
      </w:r>
      <w:r>
        <w:rPr>
          <w:color w:val="1a1a1a"/>
          <w:sz w:val="22"/>
          <w:szCs w:val="22"/>
        </w:rPr>
        <w:t xml:space="preserve">pull into flight, decline with a reason, merge, or send back one clarifying question. A decline is training data that tunes the Scout and the bands, not a deletion into a graveyard.</w:t>
      </w:r>
    </w:p>
    <w:p>
      <w:pPr>
        <w:pStyle w:val="ListParagraph"/>
        <w:numPr>
          <w:ilvl w:val="0"/>
          <w:numId w:val="2"/>
        </w:numPr>
        <w:spacing w:after="92" w:line="272"/>
      </w:pPr>
      <w:r>
        <w:rPr>
          <w:b/>
          <w:bCs/>
          <w:color w:val="1a1a1a"/>
          <w:sz w:val="22"/>
          <w:szCs w:val="22"/>
        </w:rPr>
        <w:t xml:space="preserve">Decay by policy: </w:t>
      </w:r>
      <w:r>
        <w:rPr>
          <w:color w:val="1a1a1a"/>
          <w:sz w:val="22"/>
          <w:szCs w:val="22"/>
        </w:rPr>
        <w:t xml:space="preserve">untouched intents auto-expire after a set window. Anything that matters resurfaces, redrafted by the Scout from the next ticket or breach with fresher evidence. The backlog stays small and honest; nobody inherits a four-hundred-item archaeology site.</w:t>
      </w:r>
    </w:p>
    <w:p>
      <w:pPr>
        <w:pStyle w:val="ListParagraph"/>
        <w:numPr>
          <w:ilvl w:val="0"/>
          <w:numId w:val="2"/>
        </w:numPr>
        <w:spacing w:after="92" w:line="272"/>
      </w:pPr>
      <w:r>
        <w:rPr>
          <w:b/>
          <w:bCs/>
          <w:color w:val="1a1a1a"/>
          <w:sz w:val="22"/>
          <w:szCs w:val="22"/>
        </w:rPr>
        <w:t>Mission fit is computed: each intent shows its fit against the pod's quarterly mission brief: which outcome it would move, or a flag that it moves none. The score informs; the human decides. Until a mission brief is signed, mission fit renders as unscored and never blocks a pull. Some off-mission intents are exactly the anomalies worth pulling.</w:t>
      </w:r>
      <w:r>
        <w:rPr>
          <w:color w:val="1a1a1a"/>
          <w:sz w:val="22"/>
          <w:szCs w:val="22"/>
        </w:rPr>
      </w:r>
    </w:p>
    <w:p>
      <w:pPr>
        <w:spacing w:after="160" w:line="274"/>
      </w:pPr>
      <w:r>
        <w:rPr>
          <w:color w:val="1a1a1a"/>
          <w:sz w:val="22"/>
          <w:szCs w:val="22"/>
        </w:rPr>
        <w:t>The pull itself is the ceremony. The WIP limit renders on this screen (three of five slots in flight for this person across their pods and hats), so pulling is a deliberate act against a visible constraint. The platform refuses a pull that would exceed that personal attention budget. This one surface replaces backlog grooming, sprint planning, and prioritization meetings.</w:t>
      </w:r>
    </w:p>
    <w:p>
      <w:pPr>
        <w:pStyle w:val="Heading1"/>
        <w:spacing w:after="60" w:before="340"/>
      </w:pPr>
      <w:r>
        <w:rPr>
          <w:b/>
          <w:bCs/>
          <w:color w:val="1a1a1a"/>
          <w:sz w:val="30"/>
          <w:szCs w:val="30"/>
        </w:rPr>
        <w:t xml:space="preserve">The Three-Pane Home</w:t>
      </w:r>
    </w:p>
    <w:p>
      <w:pPr>
        <w:pBdr>
          <w:bottom w:val="single" w:color="2f4bd0" w:sz="8" w:space="4"/>
        </w:pBdr>
        <w:spacing w:after="200"/>
      </w:pPr>
      <w:r>
        <w:rPr>
          <w:sz w:val="2"/>
          <w:szCs w:val="2"/>
        </w:rPr>
        <w:t xml:space="preserve"/>
      </w:r>
    </w:p>
    <w:p>
      <w:pPr>
        <w:spacing w:after="160" w:line="274"/>
      </w:pPr>
      <w:r>
        <w:rPr>
          <w:color w:val="1a1a1a"/>
          <w:sz w:val="22"/>
          <w:szCs w:val="22"/>
        </w:rPr>
        <w:t xml:space="preserve">The Product Lead's workspace is three surfaces mapping to three time horizons. The intent backlog: what could enter (the future). Work items in flight: what is moving (the present). The decision inbox: what needs me now. They do not deserve equal attention, and the platform enforces the hierarchy rather than leaving it to discipline.</w:t>
      </w:r>
    </w:p>
    <w:p>
      <w:pPr>
        <w:pStyle w:val="ListParagraph"/>
        <w:numPr>
          <w:ilvl w:val="0"/>
          <w:numId w:val="2"/>
        </w:numPr>
        <w:spacing w:after="92" w:line="272"/>
      </w:pPr>
      <w:r>
        <w:rPr>
          <w:b/>
          <w:bCs/>
          <w:color w:val="1a1a1a"/>
          <w:sz w:val="22"/>
          <w:szCs w:val="22"/>
        </w:rPr>
        <w:t xml:space="preserve">Inbox first: </w:t>
      </w:r>
      <w:r>
        <w:rPr>
          <w:color w:val="1a1a1a"/>
          <w:sz w:val="22"/>
          <w:szCs w:val="22"/>
        </w:rPr>
        <w:t xml:space="preserve">a waiting gate blocks an item at machine speed, so every minute a signature sits is the most expensive minute in the system. The inbox always ranks first.</w:t>
      </w:r>
    </w:p>
    <w:p>
      <w:pPr>
        <w:pStyle w:val="ListParagraph"/>
        <w:numPr>
          <w:ilvl w:val="0"/>
          <w:numId w:val="2"/>
        </w:numPr>
        <w:spacing w:after="92" w:line="272"/>
      </w:pPr>
      <w:r>
        <w:rPr>
          <w:b/>
          <w:bCs/>
          <w:color w:val="1a1a1a"/>
          <w:sz w:val="22"/>
          <w:szCs w:val="22"/>
        </w:rPr>
        <w:t xml:space="preserve">Backlog on pull triggers: </w:t>
      </w:r>
      <w:r>
        <w:rPr>
          <w:color w:val="1a1a1a"/>
          <w:sz w:val="22"/>
          <w:szCs w:val="22"/>
        </w:rPr>
        <w:t xml:space="preserve">visited when a WIP slot opens or a high-signal intent arrives. Selection is scheduled by capacity, not by calendar.</w:t>
      </w:r>
    </w:p>
    <w:p>
      <w:pPr>
        <w:pStyle w:val="ListParagraph"/>
        <w:numPr>
          <w:ilvl w:val="0"/>
          <w:numId w:val="2"/>
        </w:numPr>
        <w:spacing w:after="92" w:line="272"/>
      </w:pPr>
      <w:r>
        <w:rPr>
          <w:b/>
          <w:bCs/>
          <w:color w:val="1a1a1a"/>
          <w:sz w:val="22"/>
          <w:szCs w:val="22"/>
        </w:rPr>
        <w:t xml:space="preserve">Flight is ambient: </w:t>
      </w:r>
      <w:r>
        <w:rPr>
          <w:color w:val="1a1a1a"/>
          <w:sz w:val="22"/>
          <w:szCs w:val="22"/>
        </w:rPr>
        <w:t xml:space="preserve">the Product Lead does not watch items progress. That is the old standup instinct, and STEER deliberately kills it: the aging bands watch progress, and a human hears about an in-flight item only when it breaches its band or lands in the inbox. The flight pane is glanceable reassurance, never a surveillance feed.</w:t>
      </w:r>
    </w:p>
    <w:p>
      <w:pPr>
        <w:pBdr>
          <w:left w:val="single" w:color="2f4bd0" w:sz="20" w:space="14"/>
        </w:pBdr>
        <w:spacing w:after="205" w:before="125"/>
        <w:ind w:left="470" w:right="240"/>
      </w:pPr>
      <w:r>
        <w:rPr>
          <w:i/>
          <w:iCs/>
          <w:color w:val="2a2a2a"/>
          <w:sz w:val="24"/>
          <w:szCs w:val="24"/>
        </w:rPr>
        <w:t xml:space="preserve">Clear the inbox, pull when a slot opens, and trust the bands with everything in between. That is what protected attention looks like as a screen.</w:t>
      </w:r>
    </w:p>
    <w:p>
      <w:pPr>
        <w:pStyle w:val="Heading1"/>
        <w:spacing w:after="60" w:before="340"/>
      </w:pPr>
      <w:r>
        <w:rPr>
          <w:b/>
          <w:bCs/>
          <w:color w:val="1a1a1a"/>
          <w:sz w:val="30"/>
          <w:szCs w:val="30"/>
        </w:rPr>
        <w:t xml:space="preserve">The Same Shape for Every Accountability</w:t>
      </w:r>
    </w:p>
    <w:p>
      <w:pPr>
        <w:pBdr>
          <w:bottom w:val="single" w:color="2f4bd0" w:sz="8" w:space="4"/>
        </w:pBdr>
        <w:spacing w:after="200"/>
      </w:pPr>
      <w:r>
        <w:rPr>
          <w:sz w:val="2"/>
          <w:szCs w:val="2"/>
        </w:rPr>
        <w:t xml:space="preserve"/>
      </w:r>
    </w:p>
    <w:p>
      <w:pPr>
        <w:spacing w:after="160" w:line="274"/>
      </w:pPr>
      <w:r>
        <w:rPr>
          <w:color w:val="1a1a1a"/>
          <w:sz w:val="22"/>
          <w:szCs w:val="22"/>
        </w:rPr>
        <w:t xml:space="preserve">Roles are lenses on one truth: every accountability gets the same three-pane shape with different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0"/>
        <w:gridCol w:w="2500"/>
        <w:gridCol w:w="2400"/>
        <w:gridCol w:w="2210"/>
      </w:tblGrid>
      <w:tr>
        <w:tc>
          <w:tcPr>
            <w:tcW w:type="dxa" w:w="2250"/>
            <w:shd w:fill="e8e8e0" w:val="clear"/>
            <w:tcMar>
              <w:top w:type="dxa" w:w="85"/>
              <w:left w:type="dxa" w:w="115"/>
              <w:bottom w:type="dxa" w:w="85"/>
              <w:right w:type="dxa" w:w="115"/>
            </w:tcMar>
          </w:tcPr>
          <w:p>
            <w:pPr>
              <w:spacing w:after="0" w:line="246"/>
            </w:pPr>
            <w:r>
              <w:rPr>
                <w:b/>
                <w:bCs/>
                <w:color w:val="1a1a1a"/>
                <w:sz w:val="19"/>
                <w:szCs w:val="19"/>
              </w:rPr>
              <w:t xml:space="preserve">Accountability</w:t>
            </w:r>
          </w:p>
        </w:tc>
        <w:tc>
          <w:tcPr>
            <w:tcW w:type="dxa" w:w="2500"/>
            <w:shd w:fill="e8e8e0" w:val="clear"/>
            <w:tcMar>
              <w:top w:type="dxa" w:w="85"/>
              <w:left w:type="dxa" w:w="115"/>
              <w:bottom w:type="dxa" w:w="85"/>
              <w:right w:type="dxa" w:w="115"/>
            </w:tcMar>
          </w:tcPr>
          <w:p>
            <w:pPr>
              <w:spacing w:after="0" w:line="246"/>
            </w:pPr>
            <w:r>
              <w:rPr>
                <w:b/>
                <w:bCs/>
                <w:color w:val="1a1a1a"/>
                <w:sz w:val="19"/>
                <w:szCs w:val="19"/>
              </w:rPr>
              <w:t xml:space="preserve">Candidates pane</w:t>
            </w:r>
          </w:p>
        </w:tc>
        <w:tc>
          <w:tcPr>
            <w:tcW w:type="dxa" w:w="2400"/>
            <w:shd w:fill="e8e8e0" w:val="clear"/>
            <w:tcMar>
              <w:top w:type="dxa" w:w="85"/>
              <w:left w:type="dxa" w:w="115"/>
              <w:bottom w:type="dxa" w:w="85"/>
              <w:right w:type="dxa" w:w="115"/>
            </w:tcMar>
          </w:tcPr>
          <w:p>
            <w:pPr>
              <w:spacing w:after="0" w:line="246"/>
            </w:pPr>
            <w:r>
              <w:rPr>
                <w:b/>
                <w:bCs/>
                <w:color w:val="1a1a1a"/>
                <w:sz w:val="19"/>
                <w:szCs w:val="19"/>
              </w:rPr>
              <w:t xml:space="preserve">In-motion pane</w:t>
            </w:r>
          </w:p>
        </w:tc>
        <w:tc>
          <w:tcPr>
            <w:tcW w:type="dxa" w:w="2210"/>
            <w:shd w:fill="e8e8e0" w:val="clear"/>
            <w:tcMar>
              <w:top w:type="dxa" w:w="85"/>
              <w:left w:type="dxa" w:w="115"/>
              <w:bottom w:type="dxa" w:w="85"/>
              <w:right w:type="dxa" w:w="115"/>
            </w:tcMar>
          </w:tcPr>
          <w:p>
            <w:pPr>
              <w:spacing w:after="0" w:line="246"/>
            </w:pPr>
            <w:r>
              <w:rPr>
                <w:b/>
                <w:bCs/>
                <w:color w:val="1a1a1a"/>
                <w:sz w:val="19"/>
                <w:szCs w:val="19"/>
              </w:rPr>
              <w:t xml:space="preserve">Decision inbox</w:t>
            </w:r>
          </w:p>
        </w:tc>
      </w:tr>
      <w:tr>
        <w:tc>
          <w:tcPr>
            <w:tcW w:type="dxa" w:w="2250"/>
            <w:shd w:fill="f7f7f2" w:val="clear"/>
            <w:tcMar>
              <w:top w:type="dxa" w:w="85"/>
              <w:left w:type="dxa" w:w="115"/>
              <w:bottom w:type="dxa" w:w="85"/>
              <w:right w:type="dxa" w:w="115"/>
            </w:tcMar>
          </w:tcPr>
          <w:p>
            <w:pPr>
              <w:spacing w:after="0" w:line="246"/>
            </w:pPr>
            <w:r>
              <w:rPr>
                <w:b w:val="false"/>
                <w:bCs w:val="false"/>
                <w:color w:val="1a1a1a"/>
                <w:sz w:val="19"/>
                <w:szCs w:val="19"/>
              </w:rPr>
              <w:t xml:space="preserve">Product Lead</w:t>
            </w:r>
          </w:p>
        </w:tc>
        <w:tc>
          <w:tcPr>
            <w:tcW w:type="dxa" w:w="2500"/>
            <w:shd w:fill="f7f7f2" w:val="clear"/>
            <w:tcMar>
              <w:top w:type="dxa" w:w="85"/>
              <w:left w:type="dxa" w:w="115"/>
              <w:bottom w:type="dxa" w:w="85"/>
              <w:right w:type="dxa" w:w="115"/>
            </w:tcMar>
          </w:tcPr>
          <w:p>
            <w:pPr>
              <w:spacing w:after="0" w:line="246"/>
            </w:pPr>
            <w:r>
              <w:rPr>
                <w:b w:val="false"/>
                <w:bCs w:val="false"/>
                <w:color w:val="1a1a1a"/>
                <w:sz w:val="19"/>
                <w:szCs w:val="19"/>
              </w:rPr>
              <w:t xml:space="preserve">Intent backlog</w:t>
            </w:r>
          </w:p>
        </w:tc>
        <w:tc>
          <w:tcPr>
            <w:tcW w:type="dxa" w:w="2400"/>
            <w:shd w:fill="f7f7f2" w:val="clear"/>
            <w:tcMar>
              <w:top w:type="dxa" w:w="85"/>
              <w:left w:type="dxa" w:w="115"/>
              <w:bottom w:type="dxa" w:w="85"/>
              <w:right w:type="dxa" w:w="115"/>
            </w:tcMar>
          </w:tcPr>
          <w:p>
            <w:pPr>
              <w:spacing w:after="0" w:line="246"/>
            </w:pPr>
            <w:r>
              <w:rPr>
                <w:b w:val="false"/>
                <w:bCs w:val="false"/>
                <w:color w:val="1a1a1a"/>
                <w:sz w:val="19"/>
                <w:szCs w:val="19"/>
              </w:rPr>
              <w:t xml:space="preserve">Pod flight view</w:t>
            </w:r>
          </w:p>
        </w:tc>
        <w:tc>
          <w:tcPr>
            <w:tcW w:type="dxa" w:w="2210"/>
            <w:shd w:fill="f7f7f2" w:val="clear"/>
            <w:tcMar>
              <w:top w:type="dxa" w:w="85"/>
              <w:left w:type="dxa" w:w="115"/>
              <w:bottom w:type="dxa" w:w="85"/>
              <w:right w:type="dxa" w:w="115"/>
            </w:tcMar>
          </w:tcPr>
          <w:p>
            <w:pPr>
              <w:spacing w:after="0" w:line="246"/>
            </w:pPr>
            <w:r>
              <w:rPr>
                <w:b w:val="false"/>
                <w:bCs w:val="false"/>
                <w:color w:val="1a1a1a"/>
                <w:sz w:val="19"/>
                <w:szCs w:val="19"/>
              </w:rPr>
              <w:t xml:space="preserve">Gates 1 and 3</w:t>
            </w:r>
          </w:p>
        </w:tc>
      </w:tr>
      <w:tr>
        <w:tc>
          <w:tcPr>
            <w:tcW w:type="dxa" w:w="2250"/>
            <w:tcMar>
              <w:top w:type="dxa" w:w="85"/>
              <w:left w:type="dxa" w:w="115"/>
              <w:bottom w:type="dxa" w:w="85"/>
              <w:right w:type="dxa" w:w="115"/>
            </w:tcMar>
          </w:tcPr>
          <w:p>
            <w:pPr>
              <w:spacing w:after="0" w:line="246"/>
            </w:pPr>
            <w:r>
              <w:rPr>
                <w:b w:val="false"/>
                <w:bCs w:val="false"/>
                <w:color w:val="1a1a1a"/>
                <w:sz w:val="19"/>
                <w:szCs w:val="19"/>
              </w:rPr>
              <w:t xml:space="preserve">Tech Lead</w:t>
            </w:r>
          </w:p>
        </w:tc>
        <w:tc>
          <w:tcPr>
            <w:tcW w:type="dxa" w:w="2500"/>
            <w:tcMar>
              <w:top w:type="dxa" w:w="85"/>
              <w:left w:type="dxa" w:w="115"/>
              <w:bottom w:type="dxa" w:w="85"/>
              <w:right w:type="dxa" w:w="115"/>
            </w:tcMar>
          </w:tcPr>
          <w:p>
            <w:pPr>
              <w:spacing w:after="0" w:line="246"/>
            </w:pPr>
            <w:r>
              <w:rPr>
                <w:b w:val="false"/>
                <w:bCs w:val="false"/>
                <w:color w:val="1a1a1a"/>
                <w:sz w:val="19"/>
                <w:szCs w:val="19"/>
              </w:rPr>
              <w:t xml:space="preserve">Exams awaiting draft review</w:t>
            </w:r>
          </w:p>
        </w:tc>
        <w:tc>
          <w:tcPr>
            <w:tcW w:type="dxa" w:w="2400"/>
            <w:tcMar>
              <w:top w:type="dxa" w:w="85"/>
              <w:left w:type="dxa" w:w="115"/>
              <w:bottom w:type="dxa" w:w="85"/>
              <w:right w:type="dxa" w:w="115"/>
            </w:tcMar>
          </w:tcPr>
          <w:p>
            <w:pPr>
              <w:spacing w:after="0" w:line="246"/>
            </w:pPr>
            <w:r>
              <w:rPr>
                <w:b w:val="false"/>
                <w:bCs w:val="false"/>
                <w:color w:val="1a1a1a"/>
                <w:sz w:val="19"/>
                <w:szCs w:val="19"/>
              </w:rPr>
              <w:t xml:space="preserve">Builds in Engineer and Evaluate</w:t>
            </w:r>
          </w:p>
        </w:tc>
        <w:tc>
          <w:tcPr>
            <w:tcW w:type="dxa" w:w="2210"/>
            <w:tcMar>
              <w:top w:type="dxa" w:w="85"/>
              <w:left w:type="dxa" w:w="115"/>
              <w:bottom w:type="dxa" w:w="85"/>
              <w:right w:type="dxa" w:w="115"/>
            </w:tcMar>
          </w:tcPr>
          <w:p>
            <w:pPr>
              <w:spacing w:after="0" w:line="246"/>
            </w:pPr>
            <w:r>
              <w:rPr>
                <w:b w:val="false"/>
                <w:bCs w:val="false"/>
                <w:color w:val="1a1a1a"/>
                <w:sz w:val="19"/>
                <w:szCs w:val="19"/>
              </w:rPr>
              <w:t xml:space="preserve">Gates 2 and 3</w:t>
            </w:r>
          </w:p>
        </w:tc>
      </w:tr>
      <w:tr>
        <w:tc>
          <w:tcPr>
            <w:tcW w:type="dxa" w:w="2250"/>
            <w:shd w:fill="f7f7f2" w:val="clear"/>
            <w:tcMar>
              <w:top w:type="dxa" w:w="85"/>
              <w:left w:type="dxa" w:w="115"/>
              <w:bottom w:type="dxa" w:w="85"/>
              <w:right w:type="dxa" w:w="115"/>
            </w:tcMar>
          </w:tcPr>
          <w:p>
            <w:pPr>
              <w:spacing w:after="0" w:line="246"/>
            </w:pPr>
            <w:r>
              <w:rPr>
                <w:b w:val="false"/>
                <w:bCs w:val="false"/>
                <w:color w:val="1a1a1a"/>
                <w:sz w:val="19"/>
                <w:szCs w:val="19"/>
              </w:rPr>
              <w:t xml:space="preserve">Product Designer</w:t>
            </w:r>
          </w:p>
        </w:tc>
        <w:tc>
          <w:tcPr>
            <w:tcW w:type="dxa" w:w="2500"/>
            <w:shd w:fill="f7f7f2" w:val="clear"/>
            <w:tcMar>
              <w:top w:type="dxa" w:w="85"/>
              <w:left w:type="dxa" w:w="115"/>
              <w:bottom w:type="dxa" w:w="85"/>
              <w:right w:type="dxa" w:w="115"/>
            </w:tcMar>
          </w:tcPr>
          <w:p>
            <w:pPr>
              <w:spacing w:after="0" w:line="246"/>
            </w:pPr>
            <w:r>
              <w:rPr>
                <w:b w:val="false"/>
                <w:bCs w:val="false"/>
                <w:color w:val="1a1a1a"/>
                <w:sz w:val="19"/>
                <w:szCs w:val="19"/>
              </w:rPr>
              <w:t xml:space="preserve">Design passes pending</w:t>
            </w:r>
          </w:p>
        </w:tc>
        <w:tc>
          <w:tcPr>
            <w:tcW w:type="dxa" w:w="2400"/>
            <w:shd w:fill="f7f7f2" w:val="clear"/>
            <w:tcMar>
              <w:top w:type="dxa" w:w="85"/>
              <w:left w:type="dxa" w:w="115"/>
              <w:bottom w:type="dxa" w:w="85"/>
              <w:right w:type="dxa" w:w="115"/>
            </w:tcMar>
          </w:tcPr>
          <w:p>
            <w:pPr>
              <w:spacing w:after="0" w:line="246"/>
            </w:pPr>
            <w:r>
              <w:rPr>
                <w:b w:val="false"/>
                <w:bCs w:val="false"/>
                <w:color w:val="1a1a1a"/>
                <w:sz w:val="19"/>
                <w:szCs w:val="19"/>
              </w:rPr>
              <w:t xml:space="preserve">User-facing items in flight</w:t>
            </w:r>
          </w:p>
        </w:tc>
        <w:tc>
          <w:tcPr>
            <w:tcW w:type="dxa" w:w="2210"/>
            <w:shd w:fill="f7f7f2" w:val="clear"/>
            <w:tcMar>
              <w:top w:type="dxa" w:w="85"/>
              <w:left w:type="dxa" w:w="115"/>
              <w:bottom w:type="dxa" w:w="85"/>
              <w:right w:type="dxa" w:w="115"/>
            </w:tcMar>
          </w:tcPr>
          <w:p>
            <w:pPr>
              <w:spacing w:after="0" w:line="246"/>
            </w:pPr>
            <w:r>
              <w:rPr>
                <w:b w:val="false"/>
                <w:bCs w:val="false"/>
                <w:color w:val="1a1a1a"/>
                <w:sz w:val="19"/>
                <w:szCs w:val="19"/>
              </w:rPr>
              <w:t xml:space="preserve">Gate 1; Gate 3 for UX</w:t>
            </w:r>
          </w:p>
        </w:tc>
      </w:tr>
      <w:tr>
        <w:tc>
          <w:tcPr>
            <w:tcW w:type="dxa" w:w="2250"/>
            <w:tcMar>
              <w:top w:type="dxa" w:w="85"/>
              <w:left w:type="dxa" w:w="115"/>
              <w:bottom w:type="dxa" w:w="85"/>
              <w:right w:type="dxa" w:w="115"/>
            </w:tcMar>
          </w:tcPr>
          <w:p>
            <w:pPr>
              <w:spacing w:after="0" w:line="246"/>
            </w:pPr>
            <w:r>
              <w:rPr>
                <w:b w:val="false"/>
                <w:bCs w:val="false"/>
                <w:color w:val="1a1a1a"/>
                <w:sz w:val="19"/>
                <w:szCs w:val="19"/>
              </w:rPr>
              <w:t xml:space="preserve">Platform Engineer</w:t>
            </w:r>
          </w:p>
        </w:tc>
        <w:tc>
          <w:tcPr>
            <w:tcW w:type="dxa" w:w="2500"/>
            <w:tcMar>
              <w:top w:type="dxa" w:w="85"/>
              <w:left w:type="dxa" w:w="115"/>
              <w:bottom w:type="dxa" w:w="85"/>
              <w:right w:type="dxa" w:w="115"/>
            </w:tcMar>
          </w:tcPr>
          <w:p>
            <w:pPr>
              <w:spacing w:after="0" w:line="246"/>
            </w:pPr>
            <w:r>
              <w:rPr>
                <w:b w:val="false"/>
                <w:bCs w:val="false"/>
                <w:color w:val="1a1a1a"/>
                <w:sz w:val="19"/>
                <w:szCs w:val="19"/>
              </w:rPr>
              <w:t xml:space="preserve">Fleet and hook changes queued</w:t>
            </w:r>
          </w:p>
        </w:tc>
        <w:tc>
          <w:tcPr>
            <w:tcW w:type="dxa" w:w="2400"/>
            <w:tcMar>
              <w:top w:type="dxa" w:w="85"/>
              <w:left w:type="dxa" w:w="115"/>
              <w:bottom w:type="dxa" w:w="85"/>
              <w:right w:type="dxa" w:w="115"/>
            </w:tcMar>
          </w:tcPr>
          <w:p>
            <w:pPr>
              <w:spacing w:after="0" w:line="246"/>
            </w:pPr>
            <w:r>
              <w:rPr>
                <w:b w:val="false"/>
                <w:bCs w:val="false"/>
                <w:color w:val="1a1a1a"/>
                <w:sz w:val="19"/>
                <w:szCs w:val="19"/>
              </w:rPr>
              <w:t xml:space="preserve">Fleet health, costs, bands</w:t>
            </w:r>
          </w:p>
        </w:tc>
        <w:tc>
          <w:tcPr>
            <w:tcW w:type="dxa" w:w="2210"/>
            <w:tcMar>
              <w:top w:type="dxa" w:w="85"/>
              <w:left w:type="dxa" w:w="115"/>
              <w:bottom w:type="dxa" w:w="85"/>
              <w:right w:type="dxa" w:w="115"/>
            </w:tcMar>
          </w:tcPr>
          <w:p>
            <w:pPr>
              <w:spacing w:after="0" w:line="246"/>
            </w:pPr>
            <w:r>
              <w:rPr>
                <w:b w:val="false"/>
                <w:bCs w:val="false"/>
                <w:color w:val="1a1a1a"/>
                <w:sz w:val="19"/>
                <w:szCs w:val="19"/>
              </w:rPr>
              <w:t xml:space="preserve">Eval-gated config approvals</w:t>
            </w:r>
          </w:p>
        </w:tc>
      </w:tr>
    </w:tbl>
    <w:p>
      <w:pPr>
        <w:keepLines/>
        <w:spacing w:before="160"/>
      </w:pPr>
      <w:r>
        <w:rPr>
          <w:color w:val="1a1a1a"/>
          <w:sz w:val="22"/>
          <w:szCs w:val="22"/>
        </w:rPr>
        <w:t xml:space="preserve">What this replaces: backlog grooming (triage cards), sprint planning (the pull), the daily standup's status round (ambient flight plus bands), and prioritization meetings (mission-fit scores at the moment of selection). The meetings that remain are the ones that carry judgment and cohesion: the Steering Huddle and the Learning Review.</w:t>
      </w:r>
    </w:p>
    <w:p>
      <w:pPr>
        <w:spacing w:after="90" w:before="240"/>
      </w:pPr>
      <w:r>
        <w:rPr>
          <w:b/>
          <w:bCs/>
          <w:color w:val="1a1a1a"/>
          <w:sz w:val="21"/>
          <w:szCs w:val="21"/>
        </w:rPr>
        <w:t xml:space="preserve">The STEER document set</w:t>
      </w:r>
    </w:p>
    <w:p>
      <w:pPr>
        <w:pStyle w:val="ListParagraph"/>
        <w:numPr>
          <w:ilvl w:val="0"/>
          <w:numId w:val="2"/>
        </w:numPr>
        <w:spacing w:after="80" w:line="268"/>
      </w:pPr>
      <w:r>
        <w:rPr>
          <w:b/>
          <w:bCs/>
          <w:color w:val="1a1a1a"/>
          <w:sz w:val="20"/>
          <w:szCs w:val="20"/>
        </w:rPr>
        <w:t xml:space="preserve">STEER Methodology</w:t>
      </w:r>
      <w:r>
        <w:rPr>
          <w:color w:val="333333"/>
          <w:sz w:val="20"/>
          <w:szCs w:val="20"/>
        </w:rPr>
        <w:t xml:space="preserve"> · Why: the constraint shift, the values, the principles that govern every decision</w:t>
      </w:r>
    </w:p>
    <w:p>
      <w:pPr>
        <w:pStyle w:val="ListParagraph"/>
        <w:numPr>
          <w:ilvl w:val="0"/>
          <w:numId w:val="2"/>
        </w:numPr>
        <w:spacing w:after="80" w:line="268"/>
      </w:pPr>
      <w:r>
        <w:rPr>
          <w:b/>
          <w:bCs/>
          <w:color w:val="1a1a1a"/>
          <w:sz w:val="20"/>
          <w:szCs w:val="20"/>
        </w:rPr>
        <w:t xml:space="preserve">STEER Framework</w:t>
      </w:r>
      <w:r>
        <w:rPr>
          <w:color w:val="333333"/>
          <w:sz w:val="20"/>
          <w:szCs w:val="20"/>
        </w:rPr>
        <w:t xml:space="preserve"> · What: the structure, the artifact chain, the plays, the gates, the metrics</w:t>
      </w:r>
    </w:p>
    <w:p>
      <w:pPr>
        <w:pStyle w:val="ListParagraph"/>
        <w:numPr>
          <w:ilvl w:val="0"/>
          <w:numId w:val="2"/>
        </w:numPr>
        <w:spacing w:after="80" w:line="268"/>
      </w:pPr>
      <w:r>
        <w:rPr>
          <w:b/>
          <w:bCs/>
          <w:color w:val="1a1a1a"/>
          <w:sz w:val="20"/>
          <w:szCs w:val="20"/>
        </w:rPr>
        <w:t xml:space="preserve">STEER Operating Model</w:t>
      </w:r>
      <w:r>
        <w:rPr>
          <w:color w:val="333333"/>
          <w:sz w:val="20"/>
          <w:szCs w:val="20"/>
        </w:rPr>
        <w:t xml:space="preserve"> · How: accountabilities, decision rights, trust policy, culture, and scale</w:t>
      </w:r>
    </w:p>
    <w:p>
      <w:pPr>
        <w:spacing w:after="0"/>
      </w:pPr>
      <w:r>
        <w:rPr>
          <w:i/>
          <w:iCs/>
          <w:color w:val="6b6b6b"/>
          <w:sz w:val="19"/>
          <w:szCs w:val="19"/>
        </w:rPr>
        <w:t xml:space="preserve">The Guidebook is the complete reference; the Whitepaper is the shareable overview.</w:t>
      </w:r>
    </w:p>
    <w:sectPr>
      <w:footerReference w:type="default" r:id="rId7"/>
      <w:headerReference w:type="default" r:id="rId9"/>
      <w:pgSz w:w="12240" w:h="15840" w:orient="portrait"/>
      <w:pgMar w:top="1240" w:right="1440" w:bottom="12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STEER Practice Notes 3 · The Three Surfaces · Idriss Enayat · © 2026    ·    </w:t>
    </w:r>
    <w:r>
      <w:rPr>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5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2026-08-28T21:17:35.694Z</dcterms:created>
  <dcterms:modified xsi:type="dcterms:W3CDTF">2026-08-28T21:17:35.714Z</dcterms:modified>
  <dc:title>STEER Practice Note 3 — The Three Surfaces v3.1</dc:title>
  <dc:subject>Intent backlog, pull boundary, protected attention, and v3.1 candidate states</dc:subject>
</cp:coreProperties>
</file>

<file path=docProps/custom.xml><?xml version="1.0" encoding="utf-8"?>
<Properties xmlns="http://schemas.openxmlformats.org/officeDocument/2006/custom-properties" xmlns:vt="http://schemas.openxmlformats.org/officeDocument/2006/docPropsVTypes"/>
</file>