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3434E8"/>
          <w:sz w:val="44"/>
          <w:szCs w:val="44"/>
        </w:rPr>
        <w:t xml:space="preserve">dasolabs</w:t>
      </w:r>
    </w:p>
    <w:p>
      <w:pPr>
        <w:spacing w:after="400"/>
        <w:jc w:val="center"/>
      </w:pPr>
      <w:r>
        <w:rPr>
          <w:b/>
          <w:bCs/>
          <w:color w:val="0E1020"/>
          <w:sz w:val="32"/>
          <w:szCs w:val="32"/>
        </w:rPr>
        <w:t xml:space="preserve">CONTRAT DE PRESTATION DE SERVICES</w:t>
      </w:r>
    </w:p>
    <w:p>
      <w:pPr>
        <w:spacing w:after="600"/>
        <w:jc w:val="center"/>
      </w:pPr>
      <w:r>
        <w:rPr>
          <w:i/>
          <w:iCs/>
          <w:color w:val="6b6d80"/>
          <w:sz w:val="20"/>
          <w:szCs w:val="20"/>
        </w:rPr>
        <w:t xml:space="preserve">Référence : DASO-{{MissionRef}}</w:t>
      </w:r>
    </w:p>
    <w:p>
      <w:pPr>
        <w:spacing w:after="120" w:before="300"/>
      </w:pPr>
      <w:r>
        <w:rPr>
          <w:b/>
          <w:bCs/>
          <w:color w:val="1a1d33"/>
          <w:sz w:val="24"/>
          <w:szCs w:val="24"/>
        </w:rPr>
        <w:t xml:space="preserve">ENTRE LES SOUSSIGNÉS</w:t>
      </w:r>
    </w:p>
    <w:p>
      <w:pPr>
        <w:spacing w:after="120"/>
        <w:jc w:val="both"/>
      </w:pPr>
      <w:r>
        <w:rPr>
          <w:b/>
          <w:bCs/>
          <w:sz w:val="20"/>
          <w:szCs w:val="20"/>
        </w:rPr>
        <w:t xml:space="preserve">La société Dasolabs SRL</w:t>
      </w:r>
      <w:r>
        <w:rPr>
          <w:sz w:val="20"/>
          <w:szCs w:val="20"/>
        </w:rPr>
        <w:t xml:space="preserve">, société de droit belge, dont le siège social est établi à {{DasolabsAddress}}, inscrite à la Banque-Carrefour des Entreprises sous le numéro {{DasolabsBCE}}, TVA {{DasolabsTVA}}, représentée par {{DasolabsRepresentant}}, agissant en qualité de {{DasolabsRepresentantQualite}},</w:t>
      </w:r>
    </w:p>
    <w:p>
      <w:pPr>
        <w:spacing w:after="120"/>
        <w:jc w:val="both"/>
      </w:pPr>
      <w:r>
        <w:rPr>
          <w:sz w:val="20"/>
          <w:szCs w:val="20"/>
        </w:rPr>
        <w:t xml:space="preserve">Ci-après dénommée </w:t>
      </w:r>
      <w:r>
        <w:rPr>
          <w:b/>
          <w:bCs/>
          <w:sz w:val="20"/>
          <w:szCs w:val="20"/>
        </w:rPr>
        <w:t xml:space="preserve">« le Prestataire »</w:t>
      </w:r>
      <w:r>
        <w:rPr>
          <w:sz w:val="20"/>
          <w:szCs w:val="20"/>
        </w:rPr>
        <w:t xml:space="preserve"> ou </w:t>
      </w:r>
      <w:r>
        <w:rPr>
          <w:b/>
          <w:bCs/>
          <w:sz w:val="20"/>
          <w:szCs w:val="20"/>
        </w:rPr>
        <w:t xml:space="preserve">« Dasolabs »,</w:t>
      </w:r>
    </w:p>
    <w:p>
      <w:pPr>
        <w:spacing w:after="120"/>
        <w:jc w:val="both"/>
      </w:pPr>
      <w:r>
        <w:rPr>
          <w:b/>
          <w:bCs/>
          <w:sz w:val="20"/>
          <w:szCs w:val="20"/>
        </w:rPr>
        <w:t xml:space="preserve">D'une part,</w:t>
      </w:r>
    </w:p>
    <w:p/>
    <w:p>
      <w:pPr>
        <w:spacing w:after="120"/>
        <w:jc w:val="both"/>
      </w:pPr>
      <w:r>
        <w:rPr>
          <w:sz w:val="20"/>
          <w:szCs w:val="20"/>
        </w:rPr>
        <w:t xml:space="preserve">Et</w:t>
      </w:r>
    </w:p>
    <w:p/>
    <w:p>
      <w:pPr>
        <w:spacing w:after="120"/>
        <w:jc w:val="both"/>
      </w:pPr>
      <w:r>
        <w:rPr>
          <w:b/>
          <w:bCs/>
          <w:sz w:val="20"/>
          <w:szCs w:val="20"/>
        </w:rPr>
        <w:t xml:space="preserve">La société {{ClientName}}</w:t>
      </w:r>
      <w:r>
        <w:rPr>
          <w:sz w:val="20"/>
          <w:szCs w:val="20"/>
        </w:rPr>
        <w:t xml:space="preserve">, société de droit {{ClientPaysDroit}}, dont le siège social est établi à {{ClientAddress}}, inscrite sous le numéro {{ClientTVA}}, représentée par {{ClientRepresentant}}, agissant en qualité de {{ClientRepresentantQualite}},</w:t>
      </w:r>
    </w:p>
    <w:p>
      <w:pPr>
        <w:spacing w:after="120"/>
        <w:jc w:val="both"/>
      </w:pPr>
      <w:r>
        <w:rPr>
          <w:sz w:val="20"/>
          <w:szCs w:val="20"/>
        </w:rPr>
        <w:t xml:space="preserve">Ci-après dénommée </w:t>
      </w:r>
      <w:r>
        <w:rPr>
          <w:b/>
          <w:bCs/>
          <w:sz w:val="20"/>
          <w:szCs w:val="20"/>
        </w:rPr>
        <w:t xml:space="preserve">« le Client »,</w:t>
      </w:r>
    </w:p>
    <w:p>
      <w:pPr>
        <w:spacing w:after="120"/>
        <w:jc w:val="both"/>
      </w:pPr>
      <w:r>
        <w:rPr>
          <w:b/>
          <w:bCs/>
          <w:sz w:val="20"/>
          <w:szCs w:val="20"/>
        </w:rPr>
        <w:t xml:space="preserve">D'autre part,</w:t>
      </w:r>
    </w:p>
    <w:p>
      <w:pPr>
        <w:spacing w:after="120"/>
        <w:jc w:val="both"/>
      </w:pPr>
      <w:r>
        <w:rPr>
          <w:sz w:val="20"/>
          <w:szCs w:val="20"/>
        </w:rPr>
        <w:t xml:space="preserve">Ci-après conjointement dénommées </w:t>
      </w:r>
      <w:r>
        <w:rPr>
          <w:b/>
          <w:bCs/>
          <w:sz w:val="20"/>
          <w:szCs w:val="20"/>
        </w:rPr>
        <w:t xml:space="preserve">« les Parties »</w:t>
      </w:r>
      <w:r>
        <w:rPr>
          <w:sz w:val="20"/>
          <w:szCs w:val="20"/>
        </w:rPr>
        <w:t xml:space="preserve"> et individuellement </w:t>
      </w:r>
      <w:r>
        <w:rPr>
          <w:b/>
          <w:bCs/>
          <w:sz w:val="20"/>
          <w:szCs w:val="20"/>
        </w:rPr>
        <w:t xml:space="preserve">« la Partie ».</w:t>
      </w:r>
    </w:p>
    <w:p>
      <w:pPr>
        <w:spacing w:after="120" w:before="300"/>
      </w:pPr>
      <w:r>
        <w:rPr>
          <w:b/>
          <w:bCs/>
          <w:color w:val="1a1d33"/>
          <w:sz w:val="24"/>
          <w:szCs w:val="24"/>
        </w:rPr>
        <w:t xml:space="preserve">IL A ÉTÉ PRÉALABLEMENT EXPOSÉ CE QUI SUIT</w:t>
      </w:r>
    </w:p>
    <w:p>
      <w:pPr>
        <w:spacing w:after="120"/>
        <w:jc w:val="both"/>
      </w:pPr>
      <w:r>
        <w:rPr>
          <w:sz w:val="20"/>
          <w:szCs w:val="20"/>
        </w:rPr>
        <w:t xml:space="preserve">Dasolabs est un bureau d'études industriel spécialisé dans la donnée OT (Operational Technology), la conception d'architectures Unified Namespace (UNS) et l'accompagnement de projets d'automatisation. Ses domaines d'expertise couvrent notamment la programmation PLC, les systèmes SCADA, l'intégration OT/IT, le reporting industriel et la validation en environnement réglementé (pharma, aéronautique, chimie).</w:t>
      </w:r>
    </w:p>
    <w:p>
      <w:pPr>
        <w:spacing w:after="120"/>
        <w:jc w:val="both"/>
      </w:pPr>
      <w:r>
        <w:rPr>
          <w:sz w:val="20"/>
          <w:szCs w:val="20"/>
        </w:rPr>
        <w:t xml:space="preserve">Le Client souhaite recourir aux services d'un ou plusieurs consultants de Dasolabs pour exécuter la mission décrite ci-après.</w:t>
      </w:r>
    </w:p>
    <w:p>
      <w:pPr>
        <w:spacing w:after="120"/>
        <w:jc w:val="both"/>
      </w:pPr>
      <w:r>
        <w:rPr>
          <w:sz w:val="20"/>
          <w:szCs w:val="20"/>
        </w:rPr>
        <w:t xml:space="preserve">Les Parties se sont rapprochées afin de définir les termes et conditions de leur collaboration, tels qu'ils sont exposés dans le présent contrat (le « Contrat »).</w:t>
      </w:r>
    </w:p>
    <w:p>
      <w:pPr>
        <w:spacing w:after="120" w:before="300"/>
      </w:pPr>
      <w:r>
        <w:rPr>
          <w:b/>
          <w:bCs/>
          <w:color w:val="1a1d33"/>
          <w:sz w:val="24"/>
          <w:szCs w:val="24"/>
        </w:rPr>
        <w:t xml:space="preserve">Article 1 — Objet du Contrat</w:t>
      </w:r>
    </w:p>
    <w:p>
      <w:pPr>
        <w:spacing w:after="120"/>
        <w:jc w:val="both"/>
      </w:pPr>
      <w:r>
        <w:rPr>
          <w:sz w:val="20"/>
          <w:szCs w:val="20"/>
        </w:rPr>
        <w:t xml:space="preserve">Le présent Contrat a pour objet de définir les conditions générales dans lesquelles Dasolabs met à disposition du Client, pour l'exécution de la mission désignée à l'article 2, un ou plusieurs consultants dont l'expertise correspond aux besoins exprimés par le Client.</w:t>
      </w:r>
    </w:p>
    <w:p>
      <w:pPr>
        <w:spacing w:after="120"/>
        <w:jc w:val="both"/>
      </w:pPr>
      <w:r>
        <w:rPr>
          <w:sz w:val="20"/>
          <w:szCs w:val="20"/>
        </w:rPr>
        <w:t xml:space="preserve">Chaque mission fera l'objet d'un bon de commande, ordre de service ou avenant décrivant précisément le périmètre technique, les livrables attendus, le lieu d'exécution, les dates et le tarif applicable. Ce document, une fois contresigné, constituera une annexe indissociable du présent Contrat.</w:t>
      </w:r>
    </w:p>
    <w:p>
      <w:pPr>
        <w:spacing w:after="120" w:before="300"/>
      </w:pPr>
      <w:r>
        <w:rPr>
          <w:b/>
          <w:bCs/>
          <w:color w:val="1a1d33"/>
          <w:sz w:val="24"/>
          <w:szCs w:val="24"/>
        </w:rPr>
        <w:t xml:space="preserve">Article 2 — Mission et Consultant affecté</w:t>
      </w:r>
    </w:p>
    <w:p>
      <w:pPr>
        <w:spacing w:after="120"/>
        <w:jc w:val="both"/>
      </w:pPr>
      <w:r>
        <w:rPr>
          <w:b/>
          <w:bCs/>
          <w:sz w:val="20"/>
          <w:szCs w:val="20"/>
        </w:rPr>
        <w:t xml:space="preserve">2.1 Description de la mission — </w:t>
      </w:r>
      <w:r>
        <w:rPr>
          <w:sz w:val="20"/>
          <w:szCs w:val="20"/>
        </w:rPr>
        <w:t xml:space="preserve">La mission confiée à Dasolabs porte sur : {{MissionDescription}}.</w:t>
      </w:r>
    </w:p>
    <w:p>
      <w:pPr>
        <w:spacing w:after="120"/>
        <w:jc w:val="both"/>
      </w:pPr>
      <w:r>
        <w:rPr>
          <w:b/>
          <w:bCs/>
          <w:sz w:val="20"/>
          <w:szCs w:val="20"/>
        </w:rPr>
        <w:t xml:space="preserve">2.2 Consultant affecté — </w:t>
      </w:r>
      <w:r>
        <w:rPr>
          <w:sz w:val="20"/>
          <w:szCs w:val="20"/>
        </w:rPr>
        <w:t xml:space="preserve">Dasolabs affecte à l'exécution de la mission le consultant suivant : </w:t>
      </w:r>
      <w:r>
        <w:rPr>
          <w:b/>
          <w:bCs/>
          <w:sz w:val="20"/>
          <w:szCs w:val="20"/>
        </w:rPr>
        <w:t xml:space="preserve">{{ConsultantName}}</w:t>
      </w:r>
      <w:r>
        <w:rPr>
          <w:sz w:val="20"/>
          <w:szCs w:val="20"/>
        </w:rPr>
        <w:t xml:space="preserve"> (ci-après « le Consultant »). Le Consultant est un employé ou un collaborateur exclusif de Dasolabs.</w:t>
      </w:r>
    </w:p>
    <w:p>
      <w:pPr>
        <w:spacing w:after="120"/>
        <w:jc w:val="both"/>
      </w:pPr>
      <w:r>
        <w:rPr>
          <w:b/>
          <w:bCs/>
          <w:sz w:val="20"/>
          <w:szCs w:val="20"/>
        </w:rPr>
        <w:t xml:space="preserve">2.3 Remplacement — </w:t>
      </w:r>
      <w:r>
        <w:rPr>
          <w:sz w:val="20"/>
          <w:szCs w:val="20"/>
        </w:rPr>
        <w:t xml:space="preserve">En cas d'indisponibilité du Consultant (maladie, force majeure, départ, etc.), Dasolabs s'engage à proposer, dans les meilleurs délais, un remplaçant de compétence équivalente, sous réserve d'acceptation par le Client. Le Client conserve la faculté d'accepter ou de refuser le profil proposé.</w:t>
      </w:r>
    </w:p>
    <w:p>
      <w:pPr>
        <w:spacing w:after="120"/>
        <w:jc w:val="both"/>
      </w:pPr>
      <w:r>
        <w:rPr>
          <w:b/>
          <w:bCs/>
          <w:sz w:val="20"/>
          <w:szCs w:val="20"/>
        </w:rPr>
        <w:t xml:space="preserve">2.4 Lien de subordination — </w:t>
      </w:r>
      <w:r>
        <w:rPr>
          <w:sz w:val="20"/>
          <w:szCs w:val="20"/>
        </w:rPr>
        <w:t xml:space="preserve">Le Consultant demeure sous l'autorité exclusive de Dasolabs. Aucun lien de subordination hiérarchique n'existe entre le Consultant et le Client. Le Client peut néanmoins donner au Consultant les instructions fonctionnelles nécessaires à la bonne exécution de la mission.</w:t>
      </w:r>
    </w:p>
    <w:p>
      <w:pPr>
        <w:spacing w:after="120" w:before="300"/>
      </w:pPr>
      <w:r>
        <w:rPr>
          <w:b/>
          <w:bCs/>
          <w:color w:val="1a1d33"/>
          <w:sz w:val="24"/>
          <w:szCs w:val="24"/>
        </w:rPr>
        <w:t xml:space="preserve">Article 3 — Durée</w:t>
      </w:r>
    </w:p>
    <w:p>
      <w:pPr>
        <w:spacing w:after="120"/>
        <w:jc w:val="both"/>
      </w:pPr>
      <w:r>
        <w:rPr>
          <w:b/>
          <w:bCs/>
          <w:sz w:val="20"/>
          <w:szCs w:val="20"/>
        </w:rPr>
        <w:t xml:space="preserve">3.1 </w:t>
      </w:r>
      <w:r>
        <w:rPr>
          <w:sz w:val="20"/>
          <w:szCs w:val="20"/>
        </w:rPr>
        <w:t xml:space="preserve">Le présent Contrat entre en vigueur à sa date de signature par la dernière des Parties.</w:t>
      </w:r>
    </w:p>
    <w:p>
      <w:pPr>
        <w:spacing w:after="120"/>
        <w:jc w:val="both"/>
      </w:pPr>
      <w:r>
        <w:rPr>
          <w:b/>
          <w:bCs/>
          <w:sz w:val="20"/>
          <w:szCs w:val="20"/>
        </w:rPr>
        <w:t xml:space="preserve">3.2 </w:t>
      </w:r>
      <w:r>
        <w:rPr>
          <w:sz w:val="20"/>
          <w:szCs w:val="20"/>
        </w:rPr>
        <w:t xml:space="preserve">La mission décrite à l'article 2 débute le </w:t>
      </w:r>
      <w:r>
        <w:rPr>
          <w:b/>
          <w:bCs/>
          <w:sz w:val="20"/>
          <w:szCs w:val="20"/>
        </w:rPr>
        <w:t xml:space="preserve">{{MissionStartDate}}</w:t>
      </w:r>
      <w:r>
        <w:rPr>
          <w:sz w:val="20"/>
          <w:szCs w:val="20"/>
        </w:rPr>
        <w:t xml:space="preserve"> et prend fin le </w:t>
      </w:r>
      <w:r>
        <w:rPr>
          <w:b/>
          <w:bCs/>
          <w:sz w:val="20"/>
          <w:szCs w:val="20"/>
        </w:rPr>
        <w:t xml:space="preserve">{{MissionEndDate}}</w:t>
      </w:r>
      <w:r>
        <w:rPr>
          <w:sz w:val="20"/>
          <w:szCs w:val="20"/>
        </w:rPr>
        <w:t xml:space="preserve">, sauf prolongation ou résiliation anticipée dans les conditions prévues au Contrat.</w:t>
      </w:r>
    </w:p>
    <w:p>
      <w:pPr>
        <w:spacing w:after="120"/>
        <w:jc w:val="both"/>
      </w:pPr>
      <w:r>
        <w:rPr>
          <w:b/>
          <w:bCs/>
          <w:sz w:val="20"/>
          <w:szCs w:val="20"/>
        </w:rPr>
        <w:t xml:space="preserve">3.3 </w:t>
      </w:r>
      <w:r>
        <w:rPr>
          <w:sz w:val="20"/>
          <w:szCs w:val="20"/>
        </w:rPr>
        <w:t xml:space="preserve">Toute prolongation de la mission fera l'objet d'un avenant écrit signé par les deux Parties.</w:t>
      </w:r>
    </w:p>
    <w:p>
      <w:pPr>
        <w:spacing w:after="120" w:before="300"/>
      </w:pPr>
      <w:r>
        <w:rPr>
          <w:b/>
          <w:bCs/>
          <w:color w:val="1a1d33"/>
          <w:sz w:val="24"/>
          <w:szCs w:val="24"/>
        </w:rPr>
        <w:t xml:space="preserve">Article 4 — Prix et modalités de facturation</w:t>
      </w:r>
    </w:p>
    <w:p>
      <w:pPr>
        <w:spacing w:after="120"/>
        <w:jc w:val="both"/>
      </w:pPr>
      <w:r>
        <w:rPr>
          <w:b/>
          <w:bCs/>
          <w:sz w:val="20"/>
          <w:szCs w:val="20"/>
        </w:rPr>
        <w:t xml:space="preserve">4.1 Tarif — </w:t>
      </w:r>
      <w:r>
        <w:rPr>
          <w:sz w:val="20"/>
          <w:szCs w:val="20"/>
        </w:rPr>
        <w:t xml:space="preserve">Le tarif journalier convenu pour la mission est de </w:t>
      </w:r>
      <w:r>
        <w:rPr>
          <w:b/>
          <w:bCs/>
          <w:sz w:val="20"/>
          <w:szCs w:val="20"/>
        </w:rPr>
        <w:t xml:space="preserve">{{DailyRate}} EUR hors TVA / jour</w:t>
      </w:r>
      <w:r>
        <w:rPr>
          <w:sz w:val="20"/>
          <w:szCs w:val="20"/>
        </w:rPr>
        <w:t xml:space="preserve"> (Taux Journalier Moyen, ci-après « TJM »).</w:t>
      </w:r>
    </w:p>
    <w:p>
      <w:pPr>
        <w:spacing w:after="120"/>
        <w:jc w:val="both"/>
      </w:pPr>
      <w:r>
        <w:rPr>
          <w:b/>
          <w:bCs/>
          <w:sz w:val="20"/>
          <w:szCs w:val="20"/>
        </w:rPr>
        <w:t xml:space="preserve">4.2 Facturation — </w:t>
      </w:r>
      <w:r>
        <w:rPr>
          <w:sz w:val="20"/>
          <w:szCs w:val="20"/>
        </w:rPr>
        <w:t xml:space="preserve">Dasolabs facture mensuellement, à terme échu, sur base des jours effectivement prestés par le Consultant et validés par le Client via son processus de validation des timesheets.</w:t>
      </w:r>
    </w:p>
    <w:p>
      <w:pPr>
        <w:spacing w:after="120"/>
        <w:jc w:val="both"/>
      </w:pPr>
      <w:r>
        <w:rPr>
          <w:b/>
          <w:bCs/>
          <w:sz w:val="20"/>
          <w:szCs w:val="20"/>
        </w:rPr>
        <w:t xml:space="preserve">4.3 Délai de paiement — </w:t>
      </w:r>
      <w:r>
        <w:rPr>
          <w:sz w:val="20"/>
          <w:szCs w:val="20"/>
        </w:rPr>
        <w:t xml:space="preserve">Les factures sont payables à trente (30) jours calendrier date de facture, par virement bancaire au compte communiqué par Dasolabs.</w:t>
      </w:r>
    </w:p>
    <w:p>
      <w:pPr>
        <w:spacing w:after="120"/>
        <w:jc w:val="both"/>
      </w:pPr>
      <w:r>
        <w:rPr>
          <w:b/>
          <w:bCs/>
          <w:sz w:val="20"/>
          <w:szCs w:val="20"/>
        </w:rPr>
        <w:t xml:space="preserve">4.4 Retard de paiement — </w:t>
      </w:r>
      <w:r>
        <w:rPr>
          <w:sz w:val="20"/>
          <w:szCs w:val="20"/>
        </w:rPr>
        <w:t xml:space="preserve">Tout retard de paiement entraîne de plein droit et sans mise en demeure préalable l'application d'intérêts de retard au taux légal en vigueur en matière commerciale, ainsi qu'une indemnité forfaitaire de recouvrement de 40 EUR (art. XI.216 CDE et loi du 2 août 2002).</w:t>
      </w:r>
    </w:p>
    <w:p>
      <w:pPr>
        <w:spacing w:after="120"/>
        <w:jc w:val="both"/>
      </w:pPr>
      <w:r>
        <w:rPr>
          <w:b/>
          <w:bCs/>
          <w:sz w:val="20"/>
          <w:szCs w:val="20"/>
        </w:rPr>
        <w:t xml:space="preserve">4.5 Frais — </w:t>
      </w:r>
      <w:r>
        <w:rPr>
          <w:sz w:val="20"/>
          <w:szCs w:val="20"/>
        </w:rPr>
        <w:t xml:space="preserve">Les frais engagés par le Consultant à la demande expresse du Client (déplacements hors zone habituelle, hébergement, restauration) sont refacturés au Client sur base des justificatifs, sans marge, sauf convention contraire.</w:t>
      </w:r>
    </w:p>
    <w:p>
      <w:pPr>
        <w:spacing w:after="120" w:before="300"/>
      </w:pPr>
      <w:r>
        <w:rPr>
          <w:b/>
          <w:bCs/>
          <w:color w:val="1a1d33"/>
          <w:sz w:val="24"/>
          <w:szCs w:val="24"/>
        </w:rPr>
        <w:t xml:space="preserve">Article 5 — Obligations du Prestataire</w:t>
      </w:r>
    </w:p>
    <w:p>
      <w:pPr>
        <w:spacing w:after="120"/>
        <w:jc w:val="both"/>
      </w:pPr>
      <w:r>
        <w:rPr>
          <w:sz w:val="20"/>
          <w:szCs w:val="20"/>
        </w:rPr>
        <w:t xml:space="preserve">Dasolabs s'engage, dans le cadre d'une obligation de moyens, à :</w:t>
      </w:r>
    </w:p>
    <w:p>
      <w:pPr>
        <w:pStyle w:val="ListParagraph"/>
        <w:numPr>
          <w:ilvl w:val="0"/>
          <w:numId w:val="1"/>
        </w:numPr>
        <w:spacing w:after="80"/>
        <w:jc w:val="both"/>
      </w:pPr>
      <w:r>
        <w:rPr>
          <w:sz w:val="20"/>
          <w:szCs w:val="20"/>
        </w:rPr>
        <w:t xml:space="preserve">Exécuter la mission avec le soin, la diligence et la compétence attendus d'un professionnel de son secteur ;</w:t>
      </w:r>
    </w:p>
    <w:p>
      <w:pPr>
        <w:pStyle w:val="ListParagraph"/>
        <w:numPr>
          <w:ilvl w:val="0"/>
          <w:numId w:val="1"/>
        </w:numPr>
        <w:spacing w:after="80"/>
        <w:jc w:val="both"/>
      </w:pPr>
      <w:r>
        <w:rPr>
          <w:sz w:val="20"/>
          <w:szCs w:val="20"/>
        </w:rPr>
        <w:t xml:space="preserve">Mettre à disposition un consultant possédant les qualifications techniques nécessaires à la mission ;</w:t>
      </w:r>
    </w:p>
    <w:p>
      <w:pPr>
        <w:pStyle w:val="ListParagraph"/>
        <w:numPr>
          <w:ilvl w:val="0"/>
          <w:numId w:val="1"/>
        </w:numPr>
        <w:spacing w:after="80"/>
        <w:jc w:val="both"/>
      </w:pPr>
      <w:r>
        <w:rPr>
          <w:sz w:val="20"/>
          <w:szCs w:val="20"/>
        </w:rPr>
        <w:t xml:space="preserve">Respecter les règles internes du Client dont il aura été informé (règlement d'ordre intérieur, règles de sécurité, procédures qualité) ;</w:t>
      </w:r>
    </w:p>
    <w:p>
      <w:pPr>
        <w:pStyle w:val="ListParagraph"/>
        <w:numPr>
          <w:ilvl w:val="0"/>
          <w:numId w:val="1"/>
        </w:numPr>
        <w:spacing w:after="80"/>
        <w:jc w:val="both"/>
      </w:pPr>
      <w:r>
        <w:rPr>
          <w:sz w:val="20"/>
          <w:szCs w:val="20"/>
        </w:rPr>
        <w:t xml:space="preserve">Assurer la continuité de la mission en cas d'indisponibilité du Consultant, dans les conditions prévues à l'article 2.3 ;</w:t>
      </w:r>
    </w:p>
    <w:p>
      <w:pPr>
        <w:pStyle w:val="ListParagraph"/>
        <w:numPr>
          <w:ilvl w:val="0"/>
          <w:numId w:val="1"/>
        </w:numPr>
        <w:spacing w:after="80"/>
        <w:jc w:val="both"/>
      </w:pPr>
      <w:r>
        <w:rPr>
          <w:sz w:val="20"/>
          <w:szCs w:val="20"/>
        </w:rPr>
        <w:t xml:space="preserve">Souscrire et maintenir en vigueur les assurances professionnelles requises (responsabilité civile professionnelle et responsabilité civile exploitation).</w:t>
      </w:r>
    </w:p>
    <w:p>
      <w:pPr>
        <w:spacing w:after="120" w:before="300"/>
      </w:pPr>
      <w:r>
        <w:rPr>
          <w:b/>
          <w:bCs/>
          <w:color w:val="1a1d33"/>
          <w:sz w:val="24"/>
          <w:szCs w:val="24"/>
        </w:rPr>
        <w:t xml:space="preserve">Article 6 — Obligations du Client</w:t>
      </w:r>
    </w:p>
    <w:p>
      <w:pPr>
        <w:spacing w:after="120"/>
        <w:jc w:val="both"/>
      </w:pPr>
      <w:r>
        <w:rPr>
          <w:sz w:val="20"/>
          <w:szCs w:val="20"/>
        </w:rPr>
        <w:t xml:space="preserve">Le Client s'engage à :</w:t>
      </w:r>
    </w:p>
    <w:p>
      <w:pPr>
        <w:pStyle w:val="ListParagraph"/>
        <w:numPr>
          <w:ilvl w:val="0"/>
          <w:numId w:val="1"/>
        </w:numPr>
        <w:spacing w:after="80"/>
        <w:jc w:val="both"/>
      </w:pPr>
      <w:r>
        <w:rPr>
          <w:sz w:val="20"/>
          <w:szCs w:val="20"/>
        </w:rPr>
        <w:t xml:space="preserve">Mettre à disposition du Consultant les moyens matériels et informationnels nécessaires à l'exécution de la mission (accès sites, badges, licences logicielles, documentation technique, etc.) ;</w:t>
      </w:r>
    </w:p>
    <w:p>
      <w:pPr>
        <w:pStyle w:val="ListParagraph"/>
        <w:numPr>
          <w:ilvl w:val="0"/>
          <w:numId w:val="1"/>
        </w:numPr>
        <w:spacing w:after="80"/>
        <w:jc w:val="both"/>
      </w:pPr>
      <w:r>
        <w:rPr>
          <w:sz w:val="20"/>
          <w:szCs w:val="20"/>
        </w:rPr>
        <w:t xml:space="preserve">Désigner un interlocuteur unique en charge du suivi opérationnel de la mission ;</w:t>
      </w:r>
    </w:p>
    <w:p>
      <w:pPr>
        <w:pStyle w:val="ListParagraph"/>
        <w:numPr>
          <w:ilvl w:val="0"/>
          <w:numId w:val="1"/>
        </w:numPr>
        <w:spacing w:after="80"/>
        <w:jc w:val="both"/>
      </w:pPr>
      <w:r>
        <w:rPr>
          <w:sz w:val="20"/>
          <w:szCs w:val="20"/>
        </w:rPr>
        <w:t xml:space="preserve">Valider les timesheets du Consultant dans un délai raisonnable, permettant la facturation mensuelle ;</w:t>
      </w:r>
    </w:p>
    <w:p>
      <w:pPr>
        <w:pStyle w:val="ListParagraph"/>
        <w:numPr>
          <w:ilvl w:val="0"/>
          <w:numId w:val="1"/>
        </w:numPr>
        <w:spacing w:after="80"/>
        <w:jc w:val="both"/>
      </w:pPr>
      <w:r>
        <w:rPr>
          <w:sz w:val="20"/>
          <w:szCs w:val="20"/>
        </w:rPr>
        <w:t xml:space="preserve">Régler les factures dans les délais convenus à l'article 4.3 ;</w:t>
      </w:r>
    </w:p>
    <w:p>
      <w:pPr>
        <w:pStyle w:val="ListParagraph"/>
        <w:numPr>
          <w:ilvl w:val="0"/>
          <w:numId w:val="1"/>
        </w:numPr>
        <w:spacing w:after="80"/>
        <w:jc w:val="both"/>
      </w:pPr>
      <w:r>
        <w:rPr>
          <w:sz w:val="20"/>
          <w:szCs w:val="20"/>
        </w:rPr>
        <w:t xml:space="preserve">Respecter les mesures de santé et sécurité au travail applicables au lieu d'exécution de la mission.</w:t>
      </w:r>
    </w:p>
    <w:p>
      <w:pPr>
        <w:spacing w:after="120" w:before="300"/>
      </w:pPr>
      <w:r>
        <w:rPr>
          <w:b/>
          <w:bCs/>
          <w:color w:val="1a1d33"/>
          <w:sz w:val="24"/>
          <w:szCs w:val="24"/>
        </w:rPr>
        <w:t xml:space="preserve">Article 7 — Confidentialité</w:t>
      </w:r>
    </w:p>
    <w:p>
      <w:pPr>
        <w:spacing w:after="120"/>
        <w:jc w:val="both"/>
      </w:pPr>
      <w:r>
        <w:rPr>
          <w:b/>
          <w:bCs/>
          <w:sz w:val="20"/>
          <w:szCs w:val="20"/>
        </w:rPr>
        <w:t xml:space="preserve">7.1 </w:t>
      </w:r>
      <w:r>
        <w:rPr>
          <w:sz w:val="20"/>
          <w:szCs w:val="20"/>
        </w:rPr>
        <w:t xml:space="preserve">Chaque Partie s'engage à considérer comme confidentielles toutes les informations, données, documents, savoir-faire, procédés, méthodes ou tout autre élément dont elle aurait connaissance à l'occasion de l'exécution du présent Contrat.</w:t>
      </w:r>
    </w:p>
    <w:p>
      <w:pPr>
        <w:spacing w:after="120"/>
        <w:jc w:val="both"/>
      </w:pPr>
      <w:r>
        <w:rPr>
          <w:b/>
          <w:bCs/>
          <w:sz w:val="20"/>
          <w:szCs w:val="20"/>
        </w:rPr>
        <w:t xml:space="preserve">7.2 </w:t>
      </w:r>
      <w:r>
        <w:rPr>
          <w:sz w:val="20"/>
          <w:szCs w:val="20"/>
        </w:rPr>
        <w:t xml:space="preserve">Cet engagement de confidentialité subsiste pendant toute la durée du Contrat et pendant une période de cinq (5) ans après son expiration ou sa résiliation, à quelque titre que ce soit.</w:t>
      </w:r>
    </w:p>
    <w:p>
      <w:pPr>
        <w:spacing w:after="120"/>
        <w:jc w:val="both"/>
      </w:pPr>
      <w:r>
        <w:rPr>
          <w:b/>
          <w:bCs/>
          <w:sz w:val="20"/>
          <w:szCs w:val="20"/>
        </w:rPr>
        <w:t xml:space="preserve">7.3 </w:t>
      </w:r>
      <w:r>
        <w:rPr>
          <w:sz w:val="20"/>
          <w:szCs w:val="20"/>
        </w:rPr>
        <w:t xml:space="preserve">Dasolabs impose à ses consultants une clause de confidentialité équivalente inscrite dans leur contrat de travail ou de prestation.</w:t>
      </w:r>
    </w:p>
    <w:p>
      <w:pPr>
        <w:spacing w:after="120" w:before="300"/>
      </w:pPr>
      <w:r>
        <w:rPr>
          <w:b/>
          <w:bCs/>
          <w:color w:val="1a1d33"/>
          <w:sz w:val="24"/>
          <w:szCs w:val="24"/>
        </w:rPr>
        <w:t xml:space="preserve">Article 8 — Engagement réciproque de non-sollicitation du Consultant</w:t>
      </w:r>
    </w:p>
    <w:p>
      <w:pPr>
        <w:spacing w:after="120"/>
        <w:jc w:val="both"/>
      </w:pPr>
      <w:r>
        <w:rPr>
          <w:b/>
          <w:bCs/>
          <w:sz w:val="20"/>
          <w:szCs w:val="20"/>
        </w:rPr>
        <w:t xml:space="preserve">8.1 Principe — </w:t>
      </w:r>
      <w:r>
        <w:rPr>
          <w:sz w:val="20"/>
          <w:szCs w:val="20"/>
        </w:rPr>
        <w:t xml:space="preserve">Les Parties conviennent d'un engagement réciproque de non-sollicitation portant spécifiquement sur le Consultant affecté à la mission, ainsi que sur tout autre consultant ou collaborateur de l'autre Partie qui interviendrait dans le cadre de leur relation contractuelle.</w:t>
      </w:r>
    </w:p>
    <w:p>
      <w:pPr>
        <w:spacing w:after="120"/>
        <w:jc w:val="both"/>
      </w:pPr>
      <w:r>
        <w:rPr>
          <w:b/>
          <w:bCs/>
          <w:sz w:val="20"/>
          <w:szCs w:val="20"/>
        </w:rPr>
        <w:t xml:space="preserve">8.2 Portée — </w:t>
      </w:r>
      <w:r>
        <w:rPr>
          <w:sz w:val="20"/>
          <w:szCs w:val="20"/>
        </w:rPr>
        <w:t xml:space="preserve">Pendant toute la durée du Contrat et pour une période de </w:t>
      </w:r>
      <w:r>
        <w:rPr>
          <w:b/>
          <w:bCs/>
          <w:sz w:val="20"/>
          <w:szCs w:val="20"/>
        </w:rPr>
        <w:t xml:space="preserve">un (1) an à compter du début de la première mission confiée par le Client à Dasolabs</w:t>
      </w:r>
      <w:r>
        <w:rPr>
          <w:sz w:val="20"/>
          <w:szCs w:val="20"/>
        </w:rPr>
        <w:t xml:space="preserve">, chacune des Parties s'interdit, directement ou indirectement, de :</w:t>
      </w:r>
    </w:p>
    <w:p>
      <w:pPr>
        <w:pStyle w:val="ListParagraph"/>
        <w:numPr>
          <w:ilvl w:val="0"/>
          <w:numId w:val="1"/>
        </w:numPr>
        <w:spacing w:after="80"/>
        <w:jc w:val="both"/>
      </w:pPr>
      <w:r>
        <w:rPr>
          <w:sz w:val="20"/>
          <w:szCs w:val="20"/>
        </w:rPr>
        <w:t xml:space="preserve">Solliciter, débaucher, embaucher ou tenter d'embaucher, sous quelque forme que ce soit (contrat de travail, contrat de prestation de services, contrat de freelance, mission via une société tierce), le Consultant affecté à la mission ou tout autre collaborateur de l'autre Partie ayant été impliqué dans l'exécution du présent Contrat ;</w:t>
      </w:r>
    </w:p>
    <w:p>
      <w:pPr>
        <w:pStyle w:val="ListParagraph"/>
        <w:numPr>
          <w:ilvl w:val="0"/>
          <w:numId w:val="1"/>
        </w:numPr>
        <w:spacing w:after="80"/>
        <w:jc w:val="both"/>
      </w:pPr>
      <w:r>
        <w:rPr>
          <w:sz w:val="20"/>
          <w:szCs w:val="20"/>
        </w:rPr>
        <w:t xml:space="preserve">Entrer en relation contractuelle, directe ou indirecte, avec le Consultant, y compris par l'intermédiaire d'une entité tierce (société de portage, société de consulting, agence d'intérim, plateforme freelance).</w:t>
      </w:r>
    </w:p>
    <w:p>
      <w:pPr>
        <w:spacing w:after="120"/>
        <w:jc w:val="both"/>
      </w:pPr>
      <w:r>
        <w:rPr>
          <w:b/>
          <w:bCs/>
          <w:sz w:val="20"/>
          <w:szCs w:val="20"/>
        </w:rPr>
        <w:t xml:space="preserve">8.3 Sanction — </w:t>
      </w:r>
      <w:r>
        <w:rPr>
          <w:sz w:val="20"/>
          <w:szCs w:val="20"/>
        </w:rPr>
        <w:t xml:space="preserve">En cas de manquement à cet engagement, la Partie fautive versera à l'autre Partie une indemnité forfaitaire égale à </w:t>
      </w:r>
      <w:r>
        <w:rPr>
          <w:b/>
          <w:bCs/>
          <w:sz w:val="20"/>
          <w:szCs w:val="20"/>
        </w:rPr>
        <w:t xml:space="preserve">douze (12) fois le montant de la dernière facture mensuelle émise pour la prestation du Consultant concerné</w:t>
      </w:r>
      <w:r>
        <w:rPr>
          <w:sz w:val="20"/>
          <w:szCs w:val="20"/>
        </w:rPr>
        <w:t xml:space="preserve">, sans préjudice du droit de la Partie lésée de réclamer la réparation intégrale de son préjudice réel si celui-ci s'avère supérieur.</w:t>
      </w:r>
    </w:p>
    <w:p>
      <w:pPr>
        <w:spacing w:after="120"/>
        <w:jc w:val="both"/>
      </w:pPr>
      <w:r>
        <w:rPr>
          <w:b/>
          <w:bCs/>
          <w:sz w:val="20"/>
          <w:szCs w:val="20"/>
        </w:rPr>
        <w:t xml:space="preserve">8.4 Exception — </w:t>
      </w:r>
      <w:r>
        <w:rPr>
          <w:sz w:val="20"/>
          <w:szCs w:val="20"/>
        </w:rPr>
        <w:t xml:space="preserve">Cette clause ne s'applique pas si le Consultant concerné a répondu à une offre d'emploi publique du Client, publiée de manière ouverte et non ciblée, et sans démarche préalable directe ou indirecte du Client envers le Consultant. En cas de doute, la Partie qui invoque l'exception en supporte la charge de la preuve.</w:t>
      </w:r>
    </w:p>
    <w:p>
      <w:pPr>
        <w:spacing w:after="120"/>
        <w:jc w:val="both"/>
      </w:pPr>
      <w:r>
        <w:rPr>
          <w:b/>
          <w:bCs/>
          <w:sz w:val="20"/>
          <w:szCs w:val="20"/>
        </w:rPr>
        <w:t xml:space="preserve">8.5 Information — </w:t>
      </w:r>
      <w:r>
        <w:rPr>
          <w:sz w:val="20"/>
          <w:szCs w:val="20"/>
        </w:rPr>
        <w:t xml:space="preserve">Chaque Partie s'engage à informer sans délai l'autre Partie de toute approche, sollicitation ou candidature spontanée du Consultant concerné, en cours de mission ou dans l'année suivant la première mission, afin de préserver la loyauté commerciale entre les Parties.</w:t>
      </w:r>
    </w:p>
    <w:p>
      <w:pPr>
        <w:spacing w:after="120" w:before="300"/>
      </w:pPr>
      <w:r>
        <w:rPr>
          <w:b/>
          <w:bCs/>
          <w:color w:val="1a1d33"/>
          <w:sz w:val="24"/>
          <w:szCs w:val="24"/>
        </w:rPr>
        <w:t xml:space="preserve">Article 9 — Propriété intellectuelle</w:t>
      </w:r>
    </w:p>
    <w:p>
      <w:pPr>
        <w:spacing w:after="120"/>
        <w:jc w:val="both"/>
      </w:pPr>
      <w:r>
        <w:rPr>
          <w:b/>
          <w:bCs/>
          <w:sz w:val="20"/>
          <w:szCs w:val="20"/>
        </w:rPr>
        <w:t xml:space="preserve">9.1 </w:t>
      </w:r>
      <w:r>
        <w:rPr>
          <w:sz w:val="20"/>
          <w:szCs w:val="20"/>
        </w:rPr>
        <w:t xml:space="preserve">Sauf disposition contraire écrite, l'ensemble des développements, livrables, codes sources, documentations et créations réalisés par le Consultant dans le cadre de la mission sont cédés au Client dès leur paiement intégral, pour la durée légale de protection des droits.</w:t>
      </w:r>
    </w:p>
    <w:p>
      <w:pPr>
        <w:spacing w:after="120"/>
        <w:jc w:val="both"/>
      </w:pPr>
      <w:r>
        <w:rPr>
          <w:b/>
          <w:bCs/>
          <w:sz w:val="20"/>
          <w:szCs w:val="20"/>
        </w:rPr>
        <w:t xml:space="preserve">9.2 </w:t>
      </w:r>
      <w:r>
        <w:rPr>
          <w:sz w:val="20"/>
          <w:szCs w:val="20"/>
        </w:rPr>
        <w:t xml:space="preserve">Dasolabs conserve la propriété de son savoir-faire préexistant, de ses outils, méthodes, modèles, bibliothèques et briques logicielles utilisés dans le cadre de la mission. Le Client bénéficie d'un droit d'usage non exclusif, non transférable et strictement limité à l'exploitation interne du livrable.</w:t>
      </w:r>
    </w:p>
    <w:p>
      <w:pPr>
        <w:spacing w:after="120" w:before="300"/>
      </w:pPr>
      <w:r>
        <w:rPr>
          <w:b/>
          <w:bCs/>
          <w:color w:val="1a1d33"/>
          <w:sz w:val="24"/>
          <w:szCs w:val="24"/>
        </w:rPr>
        <w:t xml:space="preserve">Article 10 — Responsabilité</w:t>
      </w:r>
    </w:p>
    <w:p>
      <w:pPr>
        <w:spacing w:after="120"/>
        <w:jc w:val="both"/>
      </w:pPr>
      <w:r>
        <w:rPr>
          <w:b/>
          <w:bCs/>
          <w:sz w:val="20"/>
          <w:szCs w:val="20"/>
        </w:rPr>
        <w:t xml:space="preserve">10.1 </w:t>
      </w:r>
      <w:r>
        <w:rPr>
          <w:sz w:val="20"/>
          <w:szCs w:val="20"/>
        </w:rPr>
        <w:t xml:space="preserve">Dasolabs est tenue d'une obligation de moyens et non de résultat. Sa responsabilité ne pourra être engagée qu'en cas de faute prouvée dans l'exécution de ses obligations contractuelles.</w:t>
      </w:r>
    </w:p>
    <w:p>
      <w:pPr>
        <w:spacing w:after="120"/>
        <w:jc w:val="both"/>
      </w:pPr>
      <w:r>
        <w:rPr>
          <w:b/>
          <w:bCs/>
          <w:sz w:val="20"/>
          <w:szCs w:val="20"/>
        </w:rPr>
        <w:t xml:space="preserve">10.2 Plafond — </w:t>
      </w:r>
      <w:r>
        <w:rPr>
          <w:sz w:val="20"/>
          <w:szCs w:val="20"/>
        </w:rPr>
        <w:t xml:space="preserve">En tout état de cause, la responsabilité cumulée de Dasolabs, tous chefs de préjudice confondus, est limitée au montant total hors TVA facturé au Client au cours des douze (12) mois précédant la survenance du fait générateur.</w:t>
      </w:r>
    </w:p>
    <w:p>
      <w:pPr>
        <w:spacing w:after="120"/>
        <w:jc w:val="both"/>
      </w:pPr>
      <w:r>
        <w:rPr>
          <w:b/>
          <w:bCs/>
          <w:sz w:val="20"/>
          <w:szCs w:val="20"/>
        </w:rPr>
        <w:t xml:space="preserve">10.3 Exclusions — </w:t>
      </w:r>
      <w:r>
        <w:rPr>
          <w:sz w:val="20"/>
          <w:szCs w:val="20"/>
        </w:rPr>
        <w:t xml:space="preserve">Sont exclus tous dommages indirects, en particulier perte d'exploitation, perte de production, perte de données, perte de bénéfices, perte d'image ou toute réclamation d'un tiers.</w:t>
      </w:r>
    </w:p>
    <w:p>
      <w:pPr>
        <w:spacing w:after="120" w:before="300"/>
      </w:pPr>
      <w:r>
        <w:rPr>
          <w:b/>
          <w:bCs/>
          <w:color w:val="1a1d33"/>
          <w:sz w:val="24"/>
          <w:szCs w:val="24"/>
        </w:rPr>
        <w:t xml:space="preserve">Article 11 — Assurances</w:t>
      </w:r>
    </w:p>
    <w:p>
      <w:pPr>
        <w:spacing w:after="120"/>
        <w:jc w:val="both"/>
      </w:pPr>
      <w:r>
        <w:rPr>
          <w:sz w:val="20"/>
          <w:szCs w:val="20"/>
        </w:rPr>
        <w:t xml:space="preserve">Dasolabs déclare avoir souscrit une assurance en responsabilité civile professionnelle et une assurance en responsabilité civile exploitation, auprès d'un assureur notoirement solvable, couvrant les conséquences pécuniaires de sa responsabilité civile pouvant lui incomber à raison de l'exécution du présent Contrat. Attestation d'assurance sera fournie sur simple demande.</w:t>
      </w:r>
    </w:p>
    <w:p>
      <w:pPr>
        <w:spacing w:after="120" w:before="300"/>
      </w:pPr>
      <w:r>
        <w:rPr>
          <w:b/>
          <w:bCs/>
          <w:color w:val="1a1d33"/>
          <w:sz w:val="24"/>
          <w:szCs w:val="24"/>
        </w:rPr>
        <w:t xml:space="preserve">Article 12 — Résiliation</w:t>
      </w:r>
    </w:p>
    <w:p>
      <w:pPr>
        <w:spacing w:after="120"/>
        <w:jc w:val="both"/>
      </w:pPr>
      <w:r>
        <w:rPr>
          <w:b/>
          <w:bCs/>
          <w:sz w:val="20"/>
          <w:szCs w:val="20"/>
        </w:rPr>
        <w:t xml:space="preserve">12.1 Résiliation ordinaire — </w:t>
      </w:r>
      <w:r>
        <w:rPr>
          <w:sz w:val="20"/>
          <w:szCs w:val="20"/>
        </w:rPr>
        <w:t xml:space="preserve">Chaque Partie peut résilier le Contrat, sans motif, moyennant un préavis écrit de trente (30) jours calendrier notifié par lettre recommandée ou par courrier électronique avec accusé de réception.</w:t>
      </w:r>
    </w:p>
    <w:p>
      <w:pPr>
        <w:spacing w:after="120"/>
        <w:jc w:val="both"/>
      </w:pPr>
      <w:r>
        <w:rPr>
          <w:b/>
          <w:bCs/>
          <w:sz w:val="20"/>
          <w:szCs w:val="20"/>
        </w:rPr>
        <w:t xml:space="preserve">12.2 Résiliation pour manquement — </w:t>
      </w:r>
      <w:r>
        <w:rPr>
          <w:sz w:val="20"/>
          <w:szCs w:val="20"/>
        </w:rPr>
        <w:t xml:space="preserve">En cas de manquement grave par l'autre Partie à ses obligations contractuelles, la Partie non défaillante peut résilier le Contrat de plein droit, après mise en demeure restée sans effet pendant quinze (15) jours calendrier.</w:t>
      </w:r>
    </w:p>
    <w:p>
      <w:pPr>
        <w:spacing w:after="120"/>
        <w:jc w:val="both"/>
      </w:pPr>
      <w:r>
        <w:rPr>
          <w:b/>
          <w:bCs/>
          <w:sz w:val="20"/>
          <w:szCs w:val="20"/>
        </w:rPr>
        <w:t xml:space="preserve">12.3 Effets — </w:t>
      </w:r>
      <w:r>
        <w:rPr>
          <w:sz w:val="20"/>
          <w:szCs w:val="20"/>
        </w:rPr>
        <w:t xml:space="preserve">La résiliation du Contrat, à quelque titre que ce soit, ne libère pas les Parties des obligations dont l'exécution s'étend au-delà du terme du Contrat, en particulier les clauses de confidentialité (article 7) et de non-sollicitation (article 8).</w:t>
      </w:r>
    </w:p>
    <w:p>
      <w:pPr>
        <w:spacing w:after="120" w:before="300"/>
      </w:pPr>
      <w:r>
        <w:rPr>
          <w:b/>
          <w:bCs/>
          <w:color w:val="1a1d33"/>
          <w:sz w:val="24"/>
          <w:szCs w:val="24"/>
        </w:rPr>
        <w:t xml:space="preserve">Article 13 — Force majeure</w:t>
      </w:r>
    </w:p>
    <w:p>
      <w:pPr>
        <w:spacing w:after="120"/>
        <w:jc w:val="both"/>
      </w:pPr>
      <w:r>
        <w:rPr>
          <w:sz w:val="20"/>
          <w:szCs w:val="20"/>
        </w:rPr>
        <w:t xml:space="preserve">Aucune des Parties ne pourra être tenue responsable d'un manquement à ses obligations si celui-ci résulte d'un cas de force majeure au sens de la jurisprudence belge (événement imprévisible, irrésistible et extérieur). La Partie invoquant la force majeure devra en informer l'autre Partie sans délai. Si le cas de force majeure se prolonge au-delà de trente (30) jours, chaque Partie pourra résilier le Contrat de plein droit, sans indemnité.</w:t>
      </w:r>
    </w:p>
    <w:p>
      <w:pPr>
        <w:spacing w:after="120" w:before="300"/>
      </w:pPr>
      <w:r>
        <w:rPr>
          <w:b/>
          <w:bCs/>
          <w:color w:val="1a1d33"/>
          <w:sz w:val="24"/>
          <w:szCs w:val="24"/>
        </w:rPr>
        <w:t xml:space="preserve">Article 14 — Dispositions diverses</w:t>
      </w:r>
    </w:p>
    <w:p>
      <w:pPr>
        <w:spacing w:after="120"/>
        <w:jc w:val="both"/>
      </w:pPr>
      <w:r>
        <w:rPr>
          <w:b/>
          <w:bCs/>
          <w:sz w:val="20"/>
          <w:szCs w:val="20"/>
        </w:rPr>
        <w:t xml:space="preserve">14.1 Nullité partielle — </w:t>
      </w:r>
      <w:r>
        <w:rPr>
          <w:sz w:val="20"/>
          <w:szCs w:val="20"/>
        </w:rPr>
        <w:t xml:space="preserve">Si l'une des clauses du présent Contrat était déclarée nulle ou inapplicable, les autres clauses conserveront leur pleine efficacité. Les Parties s'engagent à négocier de bonne foi une clause de remplacement dont l'effet économique et juridique se rapprocherait de celui de la clause annulée.</w:t>
      </w:r>
    </w:p>
    <w:p>
      <w:pPr>
        <w:spacing w:after="120"/>
        <w:jc w:val="both"/>
      </w:pPr>
      <w:r>
        <w:rPr>
          <w:b/>
          <w:bCs/>
          <w:sz w:val="20"/>
          <w:szCs w:val="20"/>
        </w:rPr>
        <w:t xml:space="preserve">14.2 Cession — </w:t>
      </w:r>
      <w:r>
        <w:rPr>
          <w:sz w:val="20"/>
          <w:szCs w:val="20"/>
        </w:rPr>
        <w:t xml:space="preserve">Aucune Partie ne peut céder tout ou partie de ses droits et obligations au titre du Contrat sans l'accord écrit préalable de l'autre Partie.</w:t>
      </w:r>
    </w:p>
    <w:p>
      <w:pPr>
        <w:spacing w:after="120"/>
        <w:jc w:val="both"/>
      </w:pPr>
      <w:r>
        <w:rPr>
          <w:b/>
          <w:bCs/>
          <w:sz w:val="20"/>
          <w:szCs w:val="20"/>
        </w:rPr>
        <w:t xml:space="preserve">14.3 Notifications — </w:t>
      </w:r>
      <w:r>
        <w:rPr>
          <w:sz w:val="20"/>
          <w:szCs w:val="20"/>
        </w:rPr>
        <w:t xml:space="preserve">Toute notification requise au titre du Contrat sera valablement effectuée par courrier électronique aux adresses figurant en tête des présentes, ou par courrier recommandé.</w:t>
      </w:r>
    </w:p>
    <w:p>
      <w:pPr>
        <w:spacing w:after="120"/>
        <w:jc w:val="both"/>
      </w:pPr>
      <w:r>
        <w:rPr>
          <w:b/>
          <w:bCs/>
          <w:sz w:val="20"/>
          <w:szCs w:val="20"/>
        </w:rPr>
        <w:t xml:space="preserve">14.4 Intégralité — </w:t>
      </w:r>
      <w:r>
        <w:rPr>
          <w:sz w:val="20"/>
          <w:szCs w:val="20"/>
        </w:rPr>
        <w:t xml:space="preserve">Le Contrat, en ce compris ses annexes, exprime l'intégralité de l'accord des Parties. Il annule et remplace tout accord antérieur, écrit ou verbal, portant sur le même objet.</w:t>
      </w:r>
    </w:p>
    <w:p>
      <w:pPr>
        <w:spacing w:after="120" w:before="300"/>
      </w:pPr>
      <w:r>
        <w:rPr>
          <w:b/>
          <w:bCs/>
          <w:color w:val="1a1d33"/>
          <w:sz w:val="24"/>
          <w:szCs w:val="24"/>
        </w:rPr>
        <w:t xml:space="preserve">Article 15 — Loi applicable et juridiction</w:t>
      </w:r>
    </w:p>
    <w:p>
      <w:pPr>
        <w:spacing w:after="120"/>
        <w:jc w:val="both"/>
      </w:pPr>
      <w:r>
        <w:rPr>
          <w:sz w:val="20"/>
          <w:szCs w:val="20"/>
        </w:rPr>
        <w:t xml:space="preserve">Le présent Contrat est régi par le droit belge.</w:t>
      </w:r>
    </w:p>
    <w:p>
      <w:pPr>
        <w:spacing w:after="120"/>
        <w:jc w:val="both"/>
      </w:pPr>
      <w:r>
        <w:rPr>
          <w:sz w:val="20"/>
          <w:szCs w:val="20"/>
        </w:rPr>
        <w:t xml:space="preserve">Les Parties s'efforceront de résoudre à l'amiable tout différend relatif à l'interprétation ou à l'exécution du Contrat. À défaut d'accord amiable dans un délai de trente (30) jours à compter de la notification du différend, les tribunaux de l'arrondissement judiciaire compétent pour le siège de Dasolabs seront exclusivement compétents.</w:t>
      </w:r>
    </w:p>
    <w:p>
      <w:pPr>
        <w:spacing w:before="400"/>
      </w:pPr>
    </w:p>
    <w:p>
      <w:pPr>
        <w:spacing w:after="120" w:before="300"/>
      </w:pPr>
      <w:r>
        <w:rPr>
          <w:b/>
          <w:bCs/>
          <w:color w:val="1a1d33"/>
          <w:sz w:val="24"/>
          <w:szCs w:val="24"/>
        </w:rPr>
        <w:t xml:space="preserve">SIGNATURES</w:t>
      </w:r>
    </w:p>
    <w:p>
      <w:pPr>
        <w:spacing w:after="120"/>
        <w:jc w:val="both"/>
      </w:pPr>
      <w:r>
        <w:rPr>
          <w:sz w:val="20"/>
          <w:szCs w:val="20"/>
        </w:rPr>
        <w:t xml:space="preserve">Fait à ______________________, le ______________________, en deux (2) exemplaires originaux, chacune des Parties reconnaissant en avoir reçu un.</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120"/>
            </w:pPr>
            <w:r>
              <w:rPr>
                <w:b/>
                <w:bCs/>
                <w:color w:val="3434E8"/>
                <w:sz w:val="22"/>
                <w:szCs w:val="22"/>
              </w:rPr>
              <w:t xml:space="preserve">Pour Dasolabs SRL</w:t>
            </w:r>
          </w:p>
          <w:p>
            <w:pPr>
              <w:spacing w:after="60"/>
            </w:pPr>
            <w:r>
              <w:rPr>
                <w:sz w:val="20"/>
                <w:szCs w:val="20"/>
              </w:rPr>
              <w:t xml:space="preserve">Nom : {{DasolabsRepresentant}}</w:t>
            </w:r>
          </w:p>
          <w:p>
            <w:pPr>
              <w:spacing w:after="60"/>
            </w:pPr>
            <w:r>
              <w:rPr>
                <w:sz w:val="20"/>
                <w:szCs w:val="20"/>
              </w:rPr>
              <w:t xml:space="preserve">Fonction : {{DasolabsRepresentantQualite}}</w:t>
            </w:r>
          </w:p>
          <w:p>
            <w:pPr>
              <w:spacing w:after="120"/>
            </w:pPr>
            <w:r>
              <w:rPr>
                <w:sz w:val="20"/>
                <w:szCs w:val="20"/>
              </w:rPr>
              <w:t xml:space="preserve">Signature :</w:t>
            </w:r>
          </w:p>
          <w:p>
            <w:pPr>
              <w:pBdr>
                <w:bottom w:val="single" w:color="6b6d80" w:sz="6"/>
              </w:pBdr>
              <w:spacing w:after="400"/>
            </w:pPr>
            <w:r>
              <w:rPr>
                <w:sz w:val="20"/>
                <w:szCs w:val="20"/>
              </w:rPr>
              <w:t xml:space="preserve"> </w:t>
            </w:r>
          </w:p>
        </w:tc>
        <w:tc>
          <w:tcPr>
            <w:tcW w:type="dxa" w:w="4500"/>
            <w:tcBorders>
              <w:top w:val="none" w:color="FFFFFF" w:sz="0"/>
              <w:left w:val="none" w:color="FFFFFF" w:sz="0"/>
              <w:bottom w:val="none" w:color="FFFFFF" w:sz="0"/>
              <w:right w:val="none" w:color="FFFFFF" w:sz="0"/>
            </w:tcBorders>
          </w:tcPr>
          <w:p>
            <w:pPr>
              <w:spacing w:after="120"/>
            </w:pPr>
            <w:r>
              <w:rPr>
                <w:b/>
                <w:bCs/>
                <w:color w:val="3434E8"/>
                <w:sz w:val="22"/>
                <w:szCs w:val="22"/>
              </w:rPr>
              <w:t xml:space="preserve">Pour {{ClientName}}</w:t>
            </w:r>
          </w:p>
          <w:p>
            <w:pPr>
              <w:spacing w:after="60"/>
            </w:pPr>
            <w:r>
              <w:rPr>
                <w:sz w:val="20"/>
                <w:szCs w:val="20"/>
              </w:rPr>
              <w:t xml:space="preserve">Nom : {{ClientRepresentant}}</w:t>
            </w:r>
          </w:p>
          <w:p>
            <w:pPr>
              <w:spacing w:after="60"/>
            </w:pPr>
            <w:r>
              <w:rPr>
                <w:sz w:val="20"/>
                <w:szCs w:val="20"/>
              </w:rPr>
              <w:t xml:space="preserve">Fonction : {{ClientRepresentantQualite}}</w:t>
            </w:r>
          </w:p>
          <w:p>
            <w:pPr>
              <w:spacing w:after="120"/>
            </w:pPr>
            <w:r>
              <w:rPr>
                <w:sz w:val="20"/>
                <w:szCs w:val="20"/>
              </w:rPr>
              <w:t xml:space="preserve">Signature :</w:t>
            </w:r>
          </w:p>
          <w:p>
            <w:pPr>
              <w:pBdr>
                <w:bottom w:val="single" w:color="6b6d80" w:sz="6"/>
              </w:pBdr>
              <w:spacing w:after="400"/>
            </w:pPr>
            <w:r>
              <w:rPr>
                <w:sz w:val="20"/>
                <w:szCs w:val="20"/>
              </w:rPr>
              <w:t xml:space="preserve"> </w:t>
            </w:r>
          </w:p>
        </w:tc>
      </w:tr>
    </w:tbl>
    <w:sectPr>
      <w:headerReference w:type="default" r:id="rId7"/>
      <w:footerReference w:type="default" r:id="rId8"/>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394a6"/>
        <w:sz w:val="16"/>
        <w:szCs w:val="16"/>
      </w:rPr>
      <w:t xml:space="preserve">Dasolabs SRL — dasolabs.be — </w:t>
    </w:r>
    <w:r>
      <w:rPr>
        <w:color w:val="9394a6"/>
        <w:sz w:val="16"/>
        <w:szCs w:val="16"/>
      </w:rPr>
      <w:fldChar w:fldCharType="begin"/>
      <w:instrText xml:space="preserve">PAGE</w:instrText>
      <w:fldChar w:fldCharType="separate"/>
      <w:fldChar w:fldCharType="end"/>
    </w:r>
    <w:r>
      <w:rPr>
        <w:color w:val="9394a6"/>
        <w:sz w:val="16"/>
        <w:szCs w:val="16"/>
      </w:rPr>
      <w:t xml:space="preserve">/</w:t>
    </w:r>
    <w:r>
      <w:rPr>
        <w:color w:val="93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394a6"/>
        <w:sz w:val="16"/>
        <w:szCs w:val="16"/>
      </w:rPr>
      <w:t xml:space="preserve">Contrat de prestation de services — dasolabs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de services — Dasolabs</dc:title>
  <dc:creator>Dasolabs</dc:creator>
  <cp:lastModifiedBy>Un-named</cp:lastModifiedBy>
  <cp:revision>1</cp:revision>
  <dcterms:created xsi:type="dcterms:W3CDTF">2026-09-05T15:30:29.025Z</dcterms:created>
  <dcterms:modified xsi:type="dcterms:W3CDTF">2026-09-05T15:30:29.029Z</dcterms:modified>
</cp:coreProperties>
</file>

<file path=docProps/custom.xml><?xml version="1.0" encoding="utf-8"?>
<Properties xmlns="http://schemas.openxmlformats.org/officeDocument/2006/custom-properties" xmlns:vt="http://schemas.openxmlformats.org/officeDocument/2006/docPropsVTypes"/>
</file>