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(MAR) Maritime College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