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IN DRAFT 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 3D Printer Works.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use a Dimension SST 1200es, manufactured by Stratasys. It is a Fused-Deposition Modeling system, and this is how it works: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3D model has been designed and exported, a special program slices it up into cross-sections .01" thick. It looks at each cross-section and generates a set of instructions on how to build it. When this information is sent to the printer, it starts with the bottom-most layer, laying down plastic in the shape of the cross-section. When it finishes the first layer, it moves up .01" to start on the next layer. Take a close look at a 3D-printed model and you'll notice that it is actually stepped.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machine consists of a moving bed (Z-axis) and a print head (X-axis and Y-axis). The print head has a heating element in it; thermoplastic is forced into the print head, melts, and is squeezed out, not unlike toothpaste. The print head is calibrated in such a way that the molten plastic coming out of it is always .01" thick.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form complex shapes, overhangs, and hinges/joints/free-moving objects, the plastic needs to be held up by something. The machine prints using a second material, which we call the 'support.' When the print is done, it is put in a bath of solution that dissolves away the support material, leaving only the finished model.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986338" cy="3563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7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56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Tolerance and Support Material.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 few basic guidelines to follow when developing a model for printing. These won't help you </w:t>
      </w:r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a model; these are things to keep in mind when designing it.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Wall Thickness</w:t>
      </w:r>
      <w:r w:rsidDel="00000000" w:rsidR="00000000" w:rsidRPr="00000000">
        <w:rPr>
          <w:rtl w:val="0"/>
        </w:rPr>
        <w:t xml:space="preserve"> - The printer can print walls as thin as ~0.01", however these will not be structurally sound. Keep walls to a minimum of 0.04" for rigid structure.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Suspended Parts</w:t>
      </w:r>
      <w:r w:rsidDel="00000000" w:rsidR="00000000" w:rsidRPr="00000000">
        <w:rPr>
          <w:rtl w:val="0"/>
        </w:rPr>
        <w:t xml:space="preserve"> - It is possible to make joints by leaving some space between two interlocking parts; leave at least 0.02" or the printer may connect the two parts. If a part is threaded or must fit snugly, it is best to print it separately (when possible).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open list; if you'd like to add something, please e-mail iduarts.techroom@gmail.com.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technical info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your model is highly detailed and or a complex shape, consult a tech before submitting.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Interior settings: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Solid: fills any interior space with 100% plastic. Strongest and most expensive option.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Sparse High Density: fills interior space with a grid pattern. Very strong and cheaper than Solid fill.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Sparse Low Density: fills interior space with a grid pattern using less plastic than Sparse High Density. Uses the least plastic and is therefore the cheapest.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 Fill settings: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Minimal: uses the least amount of material and is therefore the cheapest option.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Sparse: uses more material than Minimal. Only necessary when printing complex overhangs or objects that require a high tolerance.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Printer Capabilities: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printer’s Z (height) resolution is .01”. Object walls should be at least .02” or .03” for stability/strength. Print quality is directly related to model geometry.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 by the Tech Room to see some examples of prints.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 Plastic - $5.00/cubic inch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 - $5.00/cubic inch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Tray Fee - $2.00/model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file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price of plastic is based on the amount of plastic used, not the area of the model.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