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Section 10: Final Commissioning &amp; Turnover Procedures</w:t>
      </w:r>
    </w:p>
    <w:p>
      <w:pPr>
        <w:pStyle w:val="Heading2"/>
      </w:pPr>
      <w:r>
        <w:t>10.1 Overview</w:t>
      </w:r>
    </w:p>
    <w:p>
      <w:r>
        <w:t>This section defines the procedures for final commissioning and turnover of insulation systems. It ensures that all systems meet design intent, safety standards, and client acceptance criteria. Applicable references include ASTM C1710, ISO 9001, and CSA Z94 for QA/QC verification.</w:t>
      </w:r>
    </w:p>
    <w:p>
      <w:pPr>
        <w:pStyle w:val="Heading2"/>
      </w:pPr>
      <w:r>
        <w:t>10.2 Pre-Commissioning Checklist</w:t>
      </w:r>
    </w:p>
    <w:tbl>
      <w:tblPr>
        <w:tblW w:type="auto" w:w="0"/>
        <w:tblLook w:firstColumn="1" w:firstRow="1" w:lastColumn="0" w:lastRow="0" w:noHBand="0" w:noVBand="1" w:val="04A0"/>
      </w:tblPr>
      <w:tblGrid>
        <w:gridCol w:w="1548"/>
        <w:gridCol w:w="1548"/>
        <w:gridCol w:w="1548"/>
        <w:gridCol w:w="1548"/>
      </w:tblGrid>
      <w:tr>
        <w:tc>
          <w:tcPr>
            <w:tcW w:type="dxa" w:w="1548"/>
          </w:tcPr>
          <w:p>
            <w:r>
              <w:t>Area</w:t>
            </w:r>
          </w:p>
        </w:tc>
        <w:tc>
          <w:tcPr>
            <w:tcW w:type="dxa" w:w="1548"/>
          </w:tcPr>
          <w:p>
            <w:r>
              <w:t>Verification Item</w:t>
            </w:r>
          </w:p>
        </w:tc>
        <w:tc>
          <w:tcPr>
            <w:tcW w:type="dxa" w:w="1548"/>
          </w:tcPr>
          <w:p>
            <w:r>
              <w:t>Status</w:t>
            </w:r>
          </w:p>
        </w:tc>
        <w:tc>
          <w:tcPr>
            <w:tcW w:type="dxa" w:w="1548"/>
          </w:tcPr>
          <w:p>
            <w:r>
              <w:t>Comments</w:t>
            </w:r>
          </w:p>
        </w:tc>
      </w:tr>
      <w:tr>
        <w:tc>
          <w:tcPr>
            <w:tcW w:type="dxa" w:w="1548"/>
          </w:tcPr>
          <w:p>
            <w:r>
              <w:t>Visual Inspection</w:t>
            </w:r>
          </w:p>
        </w:tc>
        <w:tc>
          <w:tcPr>
            <w:tcW w:type="dxa" w:w="1548"/>
          </w:tcPr>
          <w:p>
            <w:r>
              <w:t>All joints sealed, jacketing intact</w:t>
            </w:r>
          </w:p>
        </w:tc>
        <w:tc>
          <w:tcPr>
            <w:tcW w:type="dxa" w:w="1548"/>
          </w:tcPr>
          <w:p>
            <w:r>
              <w:t>□</w:t>
            </w:r>
          </w:p>
        </w:tc>
        <w:tc>
          <w:tcPr>
            <w:tcW w:type="dxa" w:w="1548"/>
          </w:tcPr>
          <w:p>
            <w:r/>
          </w:p>
        </w:tc>
      </w:tr>
      <w:tr>
        <w:tc>
          <w:tcPr>
            <w:tcW w:type="dxa" w:w="1548"/>
          </w:tcPr>
          <w:p>
            <w:r>
              <w:t>Dimensional Check</w:t>
            </w:r>
          </w:p>
        </w:tc>
        <w:tc>
          <w:tcPr>
            <w:tcW w:type="dxa" w:w="1548"/>
          </w:tcPr>
          <w:p>
            <w:r>
              <w:t>Thickness &amp; overlap confirmed</w:t>
            </w:r>
          </w:p>
        </w:tc>
        <w:tc>
          <w:tcPr>
            <w:tcW w:type="dxa" w:w="1548"/>
          </w:tcPr>
          <w:p>
            <w:r>
              <w:t>□</w:t>
            </w:r>
          </w:p>
        </w:tc>
        <w:tc>
          <w:tcPr>
            <w:tcW w:type="dxa" w:w="1548"/>
          </w:tcPr>
          <w:p>
            <w:r/>
          </w:p>
        </w:tc>
      </w:tr>
      <w:tr>
        <w:tc>
          <w:tcPr>
            <w:tcW w:type="dxa" w:w="1548"/>
          </w:tcPr>
          <w:p>
            <w:r>
              <w:t>Firestop &amp; Labels</w:t>
            </w:r>
          </w:p>
        </w:tc>
        <w:tc>
          <w:tcPr>
            <w:tcW w:type="dxa" w:w="1548"/>
          </w:tcPr>
          <w:p>
            <w:r>
              <w:t>Installed and visible</w:t>
            </w:r>
          </w:p>
        </w:tc>
        <w:tc>
          <w:tcPr>
            <w:tcW w:type="dxa" w:w="1548"/>
          </w:tcPr>
          <w:p>
            <w:r>
              <w:t>□</w:t>
            </w:r>
          </w:p>
        </w:tc>
        <w:tc>
          <w:tcPr>
            <w:tcW w:type="dxa" w:w="1548"/>
          </w:tcPr>
          <w:p>
            <w:r/>
          </w:p>
        </w:tc>
      </w:tr>
      <w:tr>
        <w:tc>
          <w:tcPr>
            <w:tcW w:type="dxa" w:w="1548"/>
          </w:tcPr>
          <w:p>
            <w:r>
              <w:t>Documentation</w:t>
            </w:r>
          </w:p>
        </w:tc>
        <w:tc>
          <w:tcPr>
            <w:tcW w:type="dxa" w:w="1548"/>
          </w:tcPr>
          <w:p>
            <w:r>
              <w:t>QA/QC records complete</w:t>
            </w:r>
          </w:p>
        </w:tc>
        <w:tc>
          <w:tcPr>
            <w:tcW w:type="dxa" w:w="1548"/>
          </w:tcPr>
          <w:p>
            <w:r>
              <w:t>□</w:t>
            </w:r>
          </w:p>
        </w:tc>
        <w:tc>
          <w:tcPr>
            <w:tcW w:type="dxa" w:w="1548"/>
          </w:tcPr>
          <w:p>
            <w:r/>
          </w:p>
        </w:tc>
      </w:tr>
    </w:tbl>
    <w:p>
      <w:r>
        <w:t>Figure 10-1: Pre-Commissioning Checklist [Colour retained]</w:t>
      </w:r>
    </w:p>
    <w:p>
      <w:pPr>
        <w:pStyle w:val="Heading2"/>
      </w:pPr>
      <w:r>
        <w:t>10.3 System Testing and Verification</w:t>
      </w:r>
    </w:p>
    <w:p>
      <w:pPr>
        <w:pStyle w:val="ListBullet"/>
      </w:pPr>
      <w:r>
        <w:t>Conduct thermal performance retest (ΔT ≤ 3 °C variance from baseline).</w:t>
      </w:r>
    </w:p>
    <w:p>
      <w:pPr>
        <w:pStyle w:val="ListBullet"/>
      </w:pPr>
      <w:r>
        <w:t>Verify pressure and leak test results for insulated systems.</w:t>
      </w:r>
    </w:p>
    <w:p>
      <w:pPr>
        <w:pStyle w:val="ListBullet"/>
      </w:pPr>
      <w:r>
        <w:t>Confirm adhesive and sealant cure per manufacturer specifications.</w:t>
      </w:r>
    </w:p>
    <w:p>
      <w:pPr>
        <w:pStyle w:val="ListBullet"/>
      </w:pPr>
      <w:r>
        <w:t>Document results using standardized inspection forms.</w:t>
      </w:r>
    </w:p>
    <w:p>
      <w:pPr>
        <w:pStyle w:val="Heading2"/>
      </w:pPr>
      <w:r>
        <w:t>10.4 Punch-List Management</w:t>
      </w:r>
    </w:p>
    <w:p>
      <w:r>
        <w:t>All punch-list items are tracked using unique identifiers (e.g., PL-001, PL-002). Each deficiency must include a description, responsible party, and resolution status.</w:t>
      </w:r>
    </w:p>
    <w:tbl>
      <w:tblPr>
        <w:tblW w:type="auto" w:w="0"/>
        <w:tblLook w:firstColumn="1" w:firstRow="1" w:lastColumn="0" w:lastRow="0" w:noHBand="0" w:noVBand="1" w:val="04A0"/>
      </w:tblPr>
      <w:tblGrid>
        <w:gridCol w:w="1548"/>
        <w:gridCol w:w="1548"/>
        <w:gridCol w:w="1548"/>
        <w:gridCol w:w="1548"/>
      </w:tblGrid>
      <w:tr>
        <w:tc>
          <w:tcPr>
            <w:tcW w:type="dxa" w:w="1548"/>
          </w:tcPr>
          <w:p>
            <w:r>
              <w:t>Item Code</w:t>
            </w:r>
          </w:p>
        </w:tc>
        <w:tc>
          <w:tcPr>
            <w:tcW w:type="dxa" w:w="1548"/>
          </w:tcPr>
          <w:p>
            <w:r>
              <w:t>Description</w:t>
            </w:r>
          </w:p>
        </w:tc>
        <w:tc>
          <w:tcPr>
            <w:tcW w:type="dxa" w:w="1548"/>
          </w:tcPr>
          <w:p>
            <w:r>
              <w:t>Assigned To</w:t>
            </w:r>
          </w:p>
        </w:tc>
        <w:tc>
          <w:tcPr>
            <w:tcW w:type="dxa" w:w="1548"/>
          </w:tcPr>
          <w:p>
            <w:r>
              <w:t>Status</w:t>
            </w:r>
          </w:p>
        </w:tc>
      </w:tr>
      <w:tr>
        <w:tc>
          <w:tcPr>
            <w:tcW w:type="dxa" w:w="1548"/>
          </w:tcPr>
          <w:p>
            <w:r>
              <w:t>PL-001</w:t>
            </w:r>
          </w:p>
        </w:tc>
        <w:tc>
          <w:tcPr>
            <w:tcW w:type="dxa" w:w="1548"/>
          </w:tcPr>
          <w:p>
            <w:r>
              <w:t>Damaged jacketing near pump P-120</w:t>
            </w:r>
          </w:p>
        </w:tc>
        <w:tc>
          <w:tcPr>
            <w:tcW w:type="dxa" w:w="1548"/>
          </w:tcPr>
          <w:p>
            <w:r>
              <w:t>Crew Lead</w:t>
            </w:r>
          </w:p>
        </w:tc>
        <w:tc>
          <w:tcPr>
            <w:tcW w:type="dxa" w:w="1548"/>
          </w:tcPr>
          <w:p>
            <w:r>
              <w:t>Open</w:t>
            </w:r>
          </w:p>
        </w:tc>
      </w:tr>
      <w:tr>
        <w:tc>
          <w:tcPr>
            <w:tcW w:type="dxa" w:w="1548"/>
          </w:tcPr>
          <w:p>
            <w:r>
              <w:t>PL-002</w:t>
            </w:r>
          </w:p>
        </w:tc>
        <w:tc>
          <w:tcPr>
            <w:tcW w:type="dxa" w:w="1548"/>
          </w:tcPr>
          <w:p>
            <w:r>
              <w:t>Missing firestop label at wall penetration</w:t>
            </w:r>
          </w:p>
        </w:tc>
        <w:tc>
          <w:tcPr>
            <w:tcW w:type="dxa" w:w="1548"/>
          </w:tcPr>
          <w:p>
            <w:r>
              <w:t>Inspector</w:t>
            </w:r>
          </w:p>
        </w:tc>
        <w:tc>
          <w:tcPr>
            <w:tcW w:type="dxa" w:w="1548"/>
          </w:tcPr>
          <w:p>
            <w:r>
              <w:t>In Progress</w:t>
            </w:r>
          </w:p>
        </w:tc>
      </w:tr>
      <w:tr>
        <w:tc>
          <w:tcPr>
            <w:tcW w:type="dxa" w:w="1548"/>
          </w:tcPr>
          <w:p>
            <w:r>
              <w:t>PL-003</w:t>
            </w:r>
          </w:p>
        </w:tc>
        <w:tc>
          <w:tcPr>
            <w:tcW w:type="dxa" w:w="1548"/>
          </w:tcPr>
          <w:p>
            <w:r>
              <w:t>Incorrect insulation thickness at valve set</w:t>
            </w:r>
          </w:p>
        </w:tc>
        <w:tc>
          <w:tcPr>
            <w:tcW w:type="dxa" w:w="1548"/>
          </w:tcPr>
          <w:p>
            <w:r>
              <w:t>Foreperson</w:t>
            </w:r>
          </w:p>
        </w:tc>
        <w:tc>
          <w:tcPr>
            <w:tcW w:type="dxa" w:w="1548"/>
          </w:tcPr>
          <w:p>
            <w:r>
              <w:t>Closed</w:t>
            </w:r>
          </w:p>
        </w:tc>
      </w:tr>
    </w:tbl>
    <w:p>
      <w:r>
        <w:t>Figure 10-2: Punch-List Tracking Table [Colour retained]</w:t>
      </w:r>
    </w:p>
    <w:p>
      <w:pPr>
        <w:pStyle w:val="Heading2"/>
      </w:pPr>
      <w:r>
        <w:t>10.5 Client Walk-Through and Acceptance</w:t>
      </w:r>
    </w:p>
    <w:p>
      <w:pPr>
        <w:pStyle w:val="ListBullet"/>
      </w:pPr>
      <w:r>
        <w:t>Conduct joint walk-through with client, inspector, and project manager.</w:t>
      </w:r>
    </w:p>
    <w:p>
      <w:pPr>
        <w:pStyle w:val="ListBullet"/>
      </w:pPr>
      <w:r>
        <w:t>Review all punch-list items for completion prior to sign-off.</w:t>
      </w:r>
    </w:p>
    <w:p>
      <w:pPr>
        <w:pStyle w:val="ListBullet"/>
      </w:pPr>
      <w:r>
        <w:t>Record notes, photos, and comments in meeting minutes.</w:t>
      </w:r>
    </w:p>
    <w:p>
      <w:pPr>
        <w:pStyle w:val="ListBullet"/>
      </w:pPr>
      <w:r>
        <w:t>Obtain final acceptance signature from client representative.</w:t>
      </w:r>
    </w:p>
    <w:p>
      <w:pPr>
        <w:pStyle w:val="Heading2"/>
      </w:pPr>
      <w:r>
        <w:t>10.6 Documentation Compilation</w:t>
      </w:r>
    </w:p>
    <w:p>
      <w:pPr>
        <w:pStyle w:val="ListBullet"/>
      </w:pPr>
      <w:r>
        <w:t>Assemble QA/QC turnover package with indexed binder and digital copy.</w:t>
      </w:r>
    </w:p>
    <w:p>
      <w:pPr>
        <w:pStyle w:val="ListBullet"/>
      </w:pPr>
      <w:r>
        <w:t>Include inspection reports, test results, and photo documentation.</w:t>
      </w:r>
    </w:p>
    <w:p>
      <w:pPr>
        <w:pStyle w:val="ListBullet"/>
      </w:pPr>
      <w:r>
        <w:t>Ensure all sign-off sheets are dated and initialed by responsible parties.</w:t>
      </w:r>
    </w:p>
    <w:p>
      <w:pPr>
        <w:pStyle w:val="ListBullet"/>
      </w:pPr>
      <w:r>
        <w:t>Submit digital copies to client portal and archive for minimum five years.</w:t>
      </w:r>
    </w:p>
    <w:p>
      <w:pPr>
        <w:pStyle w:val="Heading2"/>
      </w:pPr>
      <w:r>
        <w:t>10.7 Training and Handover</w:t>
      </w:r>
    </w:p>
    <w:p>
      <w:pPr>
        <w:pStyle w:val="ListBullet"/>
      </w:pPr>
      <w:r>
        <w:t>Provide client training session covering system maintenance requirements.</w:t>
      </w:r>
    </w:p>
    <w:p>
      <w:pPr>
        <w:pStyle w:val="ListBullet"/>
      </w:pPr>
      <w:r>
        <w:t>Distribute as-built drawings and product data sheets.</w:t>
      </w:r>
    </w:p>
    <w:p>
      <w:pPr>
        <w:pStyle w:val="ListBullet"/>
      </w:pPr>
      <w:r>
        <w:t>Record attendance and collect signatures from participants.</w:t>
      </w:r>
    </w:p>
    <w:p>
      <w:pPr>
        <w:pStyle w:val="ListBullet"/>
      </w:pPr>
      <w:r>
        <w:t>File training records within project QA turnover package.</w:t>
      </w:r>
    </w:p>
    <w:p>
      <w:pPr>
        <w:pStyle w:val="Heading2"/>
      </w:pPr>
      <w:r>
        <w:t>10.8 Post-Turnover Follow-Up</w:t>
      </w:r>
    </w:p>
    <w:p>
      <w:pPr>
        <w:pStyle w:val="ListBullet"/>
      </w:pPr>
      <w:r>
        <w:t>Schedule 30-day post-turnover inspection for thermal stability verification.</w:t>
      </w:r>
    </w:p>
    <w:p>
      <w:pPr>
        <w:pStyle w:val="ListBullet"/>
      </w:pPr>
      <w:r>
        <w:t>Compare temperature performance to baseline data (variance ≤ 5%).</w:t>
      </w:r>
    </w:p>
    <w:p>
      <w:pPr>
        <w:pStyle w:val="ListBullet"/>
      </w:pPr>
      <w:r>
        <w:t>Address deviations through corrective actions and record in QA log.</w:t>
      </w:r>
    </w:p>
    <w:p>
      <w:pPr>
        <w:pStyle w:val="ListBullet"/>
      </w:pPr>
      <w:r>
        <w:t>Archive updated as-built documentation and submit summary report.</w:t>
      </w:r>
    </w:p>
    <w:p>
      <w:pPr>
        <w:pStyle w:val="Heading2"/>
      </w:pPr>
      <w:r>
        <w:t>10.9 QR Video References</w:t>
      </w:r>
    </w:p>
    <w:tbl>
      <w:tblPr>
        <w:tblW w:type="auto" w:w="0"/>
        <w:tblLook w:firstColumn="1" w:firstRow="1" w:lastColumn="0" w:lastRow="0" w:noHBand="0" w:noVBand="1" w:val="04A0"/>
      </w:tblPr>
      <w:tblGrid>
        <w:gridCol w:w="3096"/>
        <w:gridCol w:w="3096"/>
      </w:tblGrid>
      <w:tr>
        <w:tc>
          <w:tcPr>
            <w:tcW w:type="dxa" w:w="3096"/>
          </w:tcPr>
          <w:p>
            <w:r>
              <w:t>Topic</w:t>
            </w:r>
          </w:p>
        </w:tc>
        <w:tc>
          <w:tcPr>
            <w:tcW w:type="dxa" w:w="3096"/>
          </w:tcPr>
          <w:p>
            <w:r>
              <w:t>Suggested Public Source</w:t>
            </w:r>
          </w:p>
        </w:tc>
      </w:tr>
      <w:tr>
        <w:tc>
          <w:tcPr>
            <w:tcW w:type="dxa" w:w="3096"/>
          </w:tcPr>
          <w:p>
            <w:r>
              <w:t>Commissioning Process Overview</w:t>
            </w:r>
          </w:p>
        </w:tc>
        <w:tc>
          <w:tcPr>
            <w:tcW w:type="dxa" w:w="3096"/>
          </w:tcPr>
          <w:p>
            <w:r>
              <w:t>NIA Training Series – YouTube</w:t>
            </w:r>
          </w:p>
        </w:tc>
      </w:tr>
      <w:tr>
        <w:tc>
          <w:tcPr>
            <w:tcW w:type="dxa" w:w="3096"/>
          </w:tcPr>
          <w:p>
            <w:r>
              <w:t>Punch-List Management</w:t>
            </w:r>
          </w:p>
        </w:tc>
        <w:tc>
          <w:tcPr>
            <w:tcW w:type="dxa" w:w="3096"/>
          </w:tcPr>
          <w:p>
            <w:r>
              <w:t>Project Management Institute – YouTube</w:t>
            </w:r>
          </w:p>
        </w:tc>
      </w:tr>
      <w:tr>
        <w:tc>
          <w:tcPr>
            <w:tcW w:type="dxa" w:w="3096"/>
          </w:tcPr>
          <w:p>
            <w:r>
              <w:t>QA Turnover Documentation</w:t>
            </w:r>
          </w:p>
        </w:tc>
        <w:tc>
          <w:tcPr>
            <w:tcW w:type="dxa" w:w="3096"/>
          </w:tcPr>
          <w:p>
            <w:r>
              <w:t>DOE Construction QA – YouTube</w:t>
            </w:r>
          </w:p>
        </w:tc>
      </w:tr>
      <w:tr>
        <w:tc>
          <w:tcPr>
            <w:tcW w:type="dxa" w:w="3096"/>
          </w:tcPr>
          <w:p>
            <w:r>
              <w:t>Client Handover Best Practices</w:t>
            </w:r>
          </w:p>
        </w:tc>
        <w:tc>
          <w:tcPr>
            <w:tcW w:type="dxa" w:w="3096"/>
          </w:tcPr>
          <w:p>
            <w:r>
              <w:t>AEC Learning Portal – YouTube</w:t>
            </w:r>
          </w:p>
        </w:tc>
      </w:tr>
      <w:tr>
        <w:tc>
          <w:tcPr>
            <w:tcW w:type="dxa" w:w="3096"/>
          </w:tcPr>
          <w:p>
            <w:r>
              <w:t>Post-Commissioning Review</w:t>
            </w:r>
          </w:p>
        </w:tc>
        <w:tc>
          <w:tcPr>
            <w:tcW w:type="dxa" w:w="3096"/>
          </w:tcPr>
          <w:p>
            <w:r>
              <w:t>WorkSafe BC – YouTube</w:t>
            </w:r>
          </w:p>
        </w:tc>
      </w:tr>
    </w:tbl>
    <w:sectPr w:rsidR="00FC693F" w:rsidRPr="0006063C" w:rsidSect="00034616">
      <w:pgSz w:w="7920" w:h="12240"/>
      <w:pgMar w:top="720" w:right="720"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