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Section 9: Project Communication &amp; Reporting Procedures</w:t>
      </w:r>
    </w:p>
    <w:p>
      <w:pPr>
        <w:pStyle w:val="Heading2"/>
      </w:pPr>
      <w:r>
        <w:t>9.1 Overview</w:t>
      </w:r>
    </w:p>
    <w:p>
      <w:r>
        <w:t>This section outlines the communication and reporting procedures required to maintain coordination between field, supervision, and management. Procedures align with CSA Z1005 and ISO 9001 standards to ensure consistent documentation and quality assurance.</w:t>
      </w:r>
    </w:p>
    <w:p>
      <w:pPr>
        <w:pStyle w:val="Heading2"/>
      </w:pPr>
      <w:r>
        <w:t>9.2 Communication Channels</w:t>
      </w:r>
    </w:p>
    <w:tbl>
      <w:tblPr>
        <w:tblW w:type="auto" w:w="0"/>
        <w:tblLook w:firstColumn="1" w:firstRow="1" w:lastColumn="0" w:lastRow="0" w:noHBand="0" w:noVBand="1" w:val="04A0"/>
      </w:tblPr>
      <w:tblGrid>
        <w:gridCol w:w="1548"/>
        <w:gridCol w:w="1548"/>
        <w:gridCol w:w="1548"/>
        <w:gridCol w:w="1548"/>
      </w:tblGrid>
      <w:tr>
        <w:tc>
          <w:tcPr>
            <w:tcW w:type="dxa" w:w="1548"/>
          </w:tcPr>
          <w:p>
            <w:r>
              <w:t>Channel</w:t>
            </w:r>
          </w:p>
        </w:tc>
        <w:tc>
          <w:tcPr>
            <w:tcW w:type="dxa" w:w="1548"/>
          </w:tcPr>
          <w:p>
            <w:r>
              <w:t>Primary Use</w:t>
            </w:r>
          </w:p>
        </w:tc>
        <w:tc>
          <w:tcPr>
            <w:tcW w:type="dxa" w:w="1548"/>
          </w:tcPr>
          <w:p>
            <w:r>
              <w:t>Frequency</w:t>
            </w:r>
          </w:p>
        </w:tc>
        <w:tc>
          <w:tcPr>
            <w:tcW w:type="dxa" w:w="1548"/>
          </w:tcPr>
          <w:p>
            <w:r>
              <w:t>Responsibility</w:t>
            </w:r>
          </w:p>
        </w:tc>
      </w:tr>
      <w:tr>
        <w:tc>
          <w:tcPr>
            <w:tcW w:type="dxa" w:w="1548"/>
          </w:tcPr>
          <w:p>
            <w:r>
              <w:t>Daily Toolbox Talk</w:t>
            </w:r>
          </w:p>
        </w:tc>
        <w:tc>
          <w:tcPr>
            <w:tcW w:type="dxa" w:w="1548"/>
          </w:tcPr>
          <w:p>
            <w:r>
              <w:t>Safety and task review</w:t>
            </w:r>
          </w:p>
        </w:tc>
        <w:tc>
          <w:tcPr>
            <w:tcW w:type="dxa" w:w="1548"/>
          </w:tcPr>
          <w:p>
            <w:r>
              <w:t>Start of shift</w:t>
            </w:r>
          </w:p>
        </w:tc>
        <w:tc>
          <w:tcPr>
            <w:tcW w:type="dxa" w:w="1548"/>
          </w:tcPr>
          <w:p>
            <w:r>
              <w:t>Foreperson</w:t>
            </w:r>
          </w:p>
        </w:tc>
      </w:tr>
      <w:tr>
        <w:tc>
          <w:tcPr>
            <w:tcW w:type="dxa" w:w="1548"/>
          </w:tcPr>
          <w:p>
            <w:r>
              <w:t>Workface Report</w:t>
            </w:r>
          </w:p>
        </w:tc>
        <w:tc>
          <w:tcPr>
            <w:tcW w:type="dxa" w:w="1548"/>
          </w:tcPr>
          <w:p>
            <w:r>
              <w:t>Progress and materials</w:t>
            </w:r>
          </w:p>
        </w:tc>
        <w:tc>
          <w:tcPr>
            <w:tcW w:type="dxa" w:w="1548"/>
          </w:tcPr>
          <w:p>
            <w:r>
              <w:t>End of shift</w:t>
            </w:r>
          </w:p>
        </w:tc>
        <w:tc>
          <w:tcPr>
            <w:tcW w:type="dxa" w:w="1548"/>
          </w:tcPr>
          <w:p>
            <w:r>
              <w:t>Crew Lead</w:t>
            </w:r>
          </w:p>
        </w:tc>
      </w:tr>
      <w:tr>
        <w:tc>
          <w:tcPr>
            <w:tcW w:type="dxa" w:w="1548"/>
          </w:tcPr>
          <w:p>
            <w:r>
              <w:t>QA/QC Update</w:t>
            </w:r>
          </w:p>
        </w:tc>
        <w:tc>
          <w:tcPr>
            <w:tcW w:type="dxa" w:w="1548"/>
          </w:tcPr>
          <w:p>
            <w:r>
              <w:t>Testing and inspections</w:t>
            </w:r>
          </w:p>
        </w:tc>
        <w:tc>
          <w:tcPr>
            <w:tcW w:type="dxa" w:w="1548"/>
          </w:tcPr>
          <w:p>
            <w:r>
              <w:t>Weekly</w:t>
            </w:r>
          </w:p>
        </w:tc>
        <w:tc>
          <w:tcPr>
            <w:tcW w:type="dxa" w:w="1548"/>
          </w:tcPr>
          <w:p>
            <w:r>
              <w:t>Inspector</w:t>
            </w:r>
          </w:p>
        </w:tc>
      </w:tr>
      <w:tr>
        <w:tc>
          <w:tcPr>
            <w:tcW w:type="dxa" w:w="1548"/>
          </w:tcPr>
          <w:p>
            <w:r>
              <w:t>Site Meeting</w:t>
            </w:r>
          </w:p>
        </w:tc>
        <w:tc>
          <w:tcPr>
            <w:tcW w:type="dxa" w:w="1548"/>
          </w:tcPr>
          <w:p>
            <w:r>
              <w:t>Coordination and planning</w:t>
            </w:r>
          </w:p>
        </w:tc>
        <w:tc>
          <w:tcPr>
            <w:tcW w:type="dxa" w:w="1548"/>
          </w:tcPr>
          <w:p>
            <w:r>
              <w:t>Weekly</w:t>
            </w:r>
          </w:p>
        </w:tc>
        <w:tc>
          <w:tcPr>
            <w:tcW w:type="dxa" w:w="1548"/>
          </w:tcPr>
          <w:p>
            <w:r>
              <w:t>Supervisor &amp; PM</w:t>
            </w:r>
          </w:p>
        </w:tc>
      </w:tr>
      <w:tr>
        <w:tc>
          <w:tcPr>
            <w:tcW w:type="dxa" w:w="1548"/>
          </w:tcPr>
          <w:p>
            <w:r>
              <w:t>Incident Report</w:t>
            </w:r>
          </w:p>
        </w:tc>
        <w:tc>
          <w:tcPr>
            <w:tcW w:type="dxa" w:w="1548"/>
          </w:tcPr>
          <w:p>
            <w:r>
              <w:t>Hazard or near miss</w:t>
            </w:r>
          </w:p>
        </w:tc>
        <w:tc>
          <w:tcPr>
            <w:tcW w:type="dxa" w:w="1548"/>
          </w:tcPr>
          <w:p>
            <w:r>
              <w:t>Immediate</w:t>
            </w:r>
          </w:p>
        </w:tc>
        <w:tc>
          <w:tcPr>
            <w:tcW w:type="dxa" w:w="1548"/>
          </w:tcPr>
          <w:p>
            <w:r>
              <w:t>Any Worker</w:t>
            </w:r>
          </w:p>
        </w:tc>
      </w:tr>
    </w:tbl>
    <w:p>
      <w:r>
        <w:t>Figure 9-1: Communication Channel Overview [Colour retained]</w:t>
      </w:r>
    </w:p>
    <w:p>
      <w:pPr>
        <w:pStyle w:val="Heading2"/>
      </w:pPr>
      <w:r>
        <w:t>9.3 Daily Reporting Requirements</w:t>
      </w:r>
    </w:p>
    <w:p>
      <w:pPr>
        <w:pStyle w:val="ListBullet"/>
      </w:pPr>
      <w:r>
        <w:t>Attendance and crew hours logged correctly.</w:t>
      </w:r>
    </w:p>
    <w:p>
      <w:pPr>
        <w:pStyle w:val="ListBullet"/>
      </w:pPr>
      <w:r>
        <w:t>Completed work scope recorded with drawing references.</w:t>
      </w:r>
    </w:p>
    <w:p>
      <w:pPr>
        <w:pStyle w:val="ListBullet"/>
      </w:pPr>
      <w:r>
        <w:t>Material usage, deliveries, and waste tracked.</w:t>
      </w:r>
    </w:p>
    <w:p>
      <w:pPr>
        <w:pStyle w:val="ListBullet"/>
      </w:pPr>
      <w:r>
        <w:t>Safety observations summarized with corrective actions.</w:t>
      </w:r>
    </w:p>
    <w:p>
      <w:pPr>
        <w:pStyle w:val="ListBullet"/>
      </w:pPr>
      <w:r>
        <w:t>Attach site photos for documentation of key work areas.</w:t>
      </w:r>
    </w:p>
    <w:p>
      <w:pPr>
        <w:pStyle w:val="Heading2"/>
      </w:pPr>
      <w:r>
        <w:t>9.4 Change Management and RFIs</w:t>
      </w:r>
    </w:p>
    <w:p>
      <w:pPr>
        <w:pStyle w:val="ListBullet"/>
      </w:pPr>
      <w:r>
        <w:t>Submit RFIs with a unique ID number (RFI-001, RFI-002, etc.).</w:t>
      </w:r>
    </w:p>
    <w:p>
      <w:pPr>
        <w:pStyle w:val="ListBullet"/>
      </w:pPr>
      <w:r>
        <w:t>Include clear description, photo, and drawing reference for each RFI.</w:t>
      </w:r>
    </w:p>
    <w:p>
      <w:pPr>
        <w:pStyle w:val="ListBullet"/>
      </w:pPr>
      <w:r>
        <w:t>Submit proposed change (PCO) with estimated cost and schedule impact.</w:t>
      </w:r>
    </w:p>
    <w:p>
      <w:pPr>
        <w:pStyle w:val="ListBullet"/>
      </w:pPr>
      <w:r>
        <w:t>Obtain approval through the digital sign-off process prior to work change.</w:t>
      </w:r>
    </w:p>
    <w:p>
      <w:r>
        <w:t>Figure 9-2: Change Management Workflow [Colour retained]</w:t>
      </w:r>
    </w:p>
    <w:p>
      <w:pPr>
        <w:pStyle w:val="Heading2"/>
      </w:pPr>
      <w:r>
        <w:t>9.5 Progress Tracking and Reporting</w:t>
      </w:r>
    </w:p>
    <w:p>
      <w:r>
        <w:t>Progress reporting is based on the percent-complete method by system or area. Weekly reporting shall include earned value metrics (EV, PV, AC) to track project performance.</w:t>
      </w:r>
    </w:p>
    <w:tbl>
      <w:tblPr>
        <w:tblW w:type="auto" w:w="0"/>
        <w:tblLook w:firstColumn="1" w:firstRow="1" w:lastColumn="0" w:lastRow="0" w:noHBand="0" w:noVBand="1" w:val="04A0"/>
      </w:tblPr>
      <w:tblGrid>
        <w:gridCol w:w="1548"/>
        <w:gridCol w:w="1548"/>
        <w:gridCol w:w="1548"/>
        <w:gridCol w:w="1548"/>
      </w:tblGrid>
      <w:tr>
        <w:tc>
          <w:tcPr>
            <w:tcW w:type="dxa" w:w="1548"/>
          </w:tcPr>
          <w:p>
            <w:r>
              <w:t>Metric</w:t>
            </w:r>
          </w:p>
        </w:tc>
        <w:tc>
          <w:tcPr>
            <w:tcW w:type="dxa" w:w="1548"/>
          </w:tcPr>
          <w:p>
            <w:r>
              <w:t>Description</w:t>
            </w:r>
          </w:p>
        </w:tc>
        <w:tc>
          <w:tcPr>
            <w:tcW w:type="dxa" w:w="1548"/>
          </w:tcPr>
          <w:p>
            <w:r>
              <w:t>Frequency</w:t>
            </w:r>
          </w:p>
        </w:tc>
        <w:tc>
          <w:tcPr>
            <w:tcW w:type="dxa" w:w="1548"/>
          </w:tcPr>
          <w:p>
            <w:r>
              <w:t>Responsible</w:t>
            </w:r>
          </w:p>
        </w:tc>
      </w:tr>
      <w:tr>
        <w:tc>
          <w:tcPr>
            <w:tcW w:type="dxa" w:w="1548"/>
          </w:tcPr>
          <w:p>
            <w:r>
              <w:t>EV</w:t>
            </w:r>
          </w:p>
        </w:tc>
        <w:tc>
          <w:tcPr>
            <w:tcW w:type="dxa" w:w="1548"/>
          </w:tcPr>
          <w:p>
            <w:r>
              <w:t>Earned Value – completed work</w:t>
            </w:r>
          </w:p>
        </w:tc>
        <w:tc>
          <w:tcPr>
            <w:tcW w:type="dxa" w:w="1548"/>
          </w:tcPr>
          <w:p>
            <w:r>
              <w:t>Weekly</w:t>
            </w:r>
          </w:p>
        </w:tc>
        <w:tc>
          <w:tcPr>
            <w:tcW w:type="dxa" w:w="1548"/>
          </w:tcPr>
          <w:p>
            <w:r>
              <w:t>Project Controls</w:t>
            </w:r>
          </w:p>
        </w:tc>
      </w:tr>
      <w:tr>
        <w:tc>
          <w:tcPr>
            <w:tcW w:type="dxa" w:w="1548"/>
          </w:tcPr>
          <w:p>
            <w:r>
              <w:t>PV</w:t>
            </w:r>
          </w:p>
        </w:tc>
        <w:tc>
          <w:tcPr>
            <w:tcW w:type="dxa" w:w="1548"/>
          </w:tcPr>
          <w:p>
            <w:r>
              <w:t>Planned Value – scheduled target</w:t>
            </w:r>
          </w:p>
        </w:tc>
        <w:tc>
          <w:tcPr>
            <w:tcW w:type="dxa" w:w="1548"/>
          </w:tcPr>
          <w:p>
            <w:r>
              <w:t>Weekly</w:t>
            </w:r>
          </w:p>
        </w:tc>
        <w:tc>
          <w:tcPr>
            <w:tcW w:type="dxa" w:w="1548"/>
          </w:tcPr>
          <w:p>
            <w:r>
              <w:t>Planner/Scheduler</w:t>
            </w:r>
          </w:p>
        </w:tc>
      </w:tr>
      <w:tr>
        <w:tc>
          <w:tcPr>
            <w:tcW w:type="dxa" w:w="1548"/>
          </w:tcPr>
          <w:p>
            <w:r>
              <w:t>AC</w:t>
            </w:r>
          </w:p>
        </w:tc>
        <w:tc>
          <w:tcPr>
            <w:tcW w:type="dxa" w:w="1548"/>
          </w:tcPr>
          <w:p>
            <w:r>
              <w:t>Actual Cost – cost spent</w:t>
            </w:r>
          </w:p>
        </w:tc>
        <w:tc>
          <w:tcPr>
            <w:tcW w:type="dxa" w:w="1548"/>
          </w:tcPr>
          <w:p>
            <w:r>
              <w:t>Weekly</w:t>
            </w:r>
          </w:p>
        </w:tc>
        <w:tc>
          <w:tcPr>
            <w:tcW w:type="dxa" w:w="1548"/>
          </w:tcPr>
          <w:p>
            <w:r>
              <w:t>Cost Analyst</w:t>
            </w:r>
          </w:p>
        </w:tc>
      </w:tr>
    </w:tbl>
    <w:p>
      <w:r>
        <w:t>Figure 9-3: Weekly Progress Curve [Colour retained]</w:t>
      </w:r>
    </w:p>
    <w:p>
      <w:pPr>
        <w:pStyle w:val="Heading2"/>
      </w:pPr>
      <w:r>
        <w:t>9.6 Meetings and Minutes</w:t>
      </w:r>
    </w:p>
    <w:p>
      <w:pPr>
        <w:pStyle w:val="ListBullet"/>
      </w:pPr>
      <w:r>
        <w:t>Prepare standard agenda templates for all coordination meetings.</w:t>
      </w:r>
    </w:p>
    <w:p>
      <w:pPr>
        <w:pStyle w:val="ListBullet"/>
      </w:pPr>
      <w:r>
        <w:t>Record attendees, key discussion points, and assigned action items.</w:t>
      </w:r>
    </w:p>
    <w:p>
      <w:pPr>
        <w:pStyle w:val="ListBullet"/>
      </w:pPr>
      <w:r>
        <w:t>Use an action matrix with colour-coded status (Open, Closed, Pending).</w:t>
      </w:r>
    </w:p>
    <w:p>
      <w:pPr>
        <w:pStyle w:val="ListBullet"/>
      </w:pPr>
      <w:r>
        <w:t>Store signed minutes within 24 hours in shared project drive.</w:t>
      </w:r>
    </w:p>
    <w:p>
      <w:pPr>
        <w:pStyle w:val="ListBullet"/>
      </w:pPr>
      <w:r>
        <w:t>Retain all records for at least one year after project completion.</w:t>
      </w:r>
    </w:p>
    <w:p>
      <w:r>
        <w:t>Figure 9-4: Meeting Action Matrix Example [Colour retained]</w:t>
      </w:r>
    </w:p>
    <w:p>
      <w:pPr>
        <w:pStyle w:val="Heading2"/>
      </w:pPr>
      <w:r>
        <w:t>9.7 Document Control and Distribution</w:t>
      </w:r>
    </w:p>
    <w:p>
      <w:pPr>
        <w:pStyle w:val="ListBullet"/>
      </w:pPr>
      <w:r>
        <w:t>Follow naming convention: Project-Discipline-Rev#-Date (e.g., 2205-INS-Rev2-2025-06-10).</w:t>
      </w:r>
    </w:p>
    <w:p>
      <w:pPr>
        <w:pStyle w:val="ListBullet"/>
      </w:pPr>
      <w:r>
        <w:t>Ensure all controlled copies are distributed via approved systems.</w:t>
      </w:r>
    </w:p>
    <w:p>
      <w:pPr>
        <w:pStyle w:val="ListBullet"/>
      </w:pPr>
      <w:r>
        <w:t>Maintain version history and mark obsolete files clearly.</w:t>
      </w:r>
    </w:p>
    <w:p>
      <w:pPr>
        <w:pStyle w:val="ListBullet"/>
      </w:pPr>
      <w:r>
        <w:t>Confirm all field copies are updated to latest revisions.</w:t>
      </w:r>
    </w:p>
    <w:p>
      <w:pPr>
        <w:pStyle w:val="Heading2"/>
      </w:pPr>
      <w:r>
        <w:t>9.8 Conflict Resolution &amp; Escalation Path</w:t>
      </w:r>
    </w:p>
    <w:p>
      <w:r>
        <w:t>Escalation follows a clear communication hierarchy to resolve issues promptly. All escalation events must be documented in the daily report or meeting minutes.</w:t>
      </w:r>
    </w:p>
    <w:tbl>
      <w:tblPr>
        <w:tblW w:type="auto" w:w="0"/>
        <w:tblLook w:firstColumn="1" w:firstRow="1" w:lastColumn="0" w:lastRow="0" w:noHBand="0" w:noVBand="1" w:val="04A0"/>
      </w:tblPr>
      <w:tblGrid>
        <w:gridCol w:w="2064"/>
        <w:gridCol w:w="2064"/>
        <w:gridCol w:w="2064"/>
      </w:tblGrid>
      <w:tr>
        <w:tc>
          <w:tcPr>
            <w:tcW w:type="dxa" w:w="2064"/>
          </w:tcPr>
          <w:p>
            <w:r>
              <w:t>Level</w:t>
            </w:r>
          </w:p>
        </w:tc>
        <w:tc>
          <w:tcPr>
            <w:tcW w:type="dxa" w:w="2064"/>
          </w:tcPr>
          <w:p>
            <w:r>
              <w:t>Role / Position</w:t>
            </w:r>
          </w:p>
        </w:tc>
        <w:tc>
          <w:tcPr>
            <w:tcW w:type="dxa" w:w="2064"/>
          </w:tcPr>
          <w:p>
            <w:r>
              <w:t>Response Time</w:t>
            </w:r>
          </w:p>
        </w:tc>
      </w:tr>
      <w:tr>
        <w:tc>
          <w:tcPr>
            <w:tcW w:type="dxa" w:w="2064"/>
          </w:tcPr>
          <w:p>
            <w:r>
              <w:t>1</w:t>
            </w:r>
          </w:p>
        </w:tc>
        <w:tc>
          <w:tcPr>
            <w:tcW w:type="dxa" w:w="2064"/>
          </w:tcPr>
          <w:p>
            <w:r>
              <w:t>Crew Lead → Foreperson</w:t>
            </w:r>
          </w:p>
        </w:tc>
        <w:tc>
          <w:tcPr>
            <w:tcW w:type="dxa" w:w="2064"/>
          </w:tcPr>
          <w:p>
            <w:r>
              <w:t>Immediate verbal notification</w:t>
            </w:r>
          </w:p>
        </w:tc>
      </w:tr>
      <w:tr>
        <w:tc>
          <w:tcPr>
            <w:tcW w:type="dxa" w:w="2064"/>
          </w:tcPr>
          <w:p>
            <w:r>
              <w:t>2</w:t>
            </w:r>
          </w:p>
        </w:tc>
        <w:tc>
          <w:tcPr>
            <w:tcW w:type="dxa" w:w="2064"/>
          </w:tcPr>
          <w:p>
            <w:r>
              <w:t>Foreperson → Supervisor</w:t>
            </w:r>
          </w:p>
        </w:tc>
        <w:tc>
          <w:tcPr>
            <w:tcW w:type="dxa" w:w="2064"/>
          </w:tcPr>
          <w:p>
            <w:r>
              <w:t>Within 4 hours</w:t>
            </w:r>
          </w:p>
        </w:tc>
      </w:tr>
      <w:tr>
        <w:tc>
          <w:tcPr>
            <w:tcW w:type="dxa" w:w="2064"/>
          </w:tcPr>
          <w:p>
            <w:r>
              <w:t>3</w:t>
            </w:r>
          </w:p>
        </w:tc>
        <w:tc>
          <w:tcPr>
            <w:tcW w:type="dxa" w:w="2064"/>
          </w:tcPr>
          <w:p>
            <w:r>
              <w:t>Supervisor → Project Manager</w:t>
            </w:r>
          </w:p>
        </w:tc>
        <w:tc>
          <w:tcPr>
            <w:tcW w:type="dxa" w:w="2064"/>
          </w:tcPr>
          <w:p>
            <w:r>
              <w:t>Within 1 working day</w:t>
            </w:r>
          </w:p>
        </w:tc>
      </w:tr>
      <w:tr>
        <w:tc>
          <w:tcPr>
            <w:tcW w:type="dxa" w:w="2064"/>
          </w:tcPr>
          <w:p>
            <w:r>
              <w:t>4</w:t>
            </w:r>
          </w:p>
        </w:tc>
        <w:tc>
          <w:tcPr>
            <w:tcW w:type="dxa" w:w="2064"/>
          </w:tcPr>
          <w:p>
            <w:r>
              <w:t>Project Manager → Client Representative</w:t>
            </w:r>
          </w:p>
        </w:tc>
        <w:tc>
          <w:tcPr>
            <w:tcW w:type="dxa" w:w="2064"/>
          </w:tcPr>
          <w:p>
            <w:r>
              <w:t>Within 2 working days</w:t>
            </w:r>
          </w:p>
        </w:tc>
      </w:tr>
    </w:tbl>
    <w:p>
      <w:r>
        <w:t>Figure 9-5: Escalation Path Flowchart [Colour retained]</w:t>
      </w:r>
    </w:p>
    <w:p>
      <w:pPr>
        <w:pStyle w:val="Heading2"/>
      </w:pPr>
      <w:r>
        <w:t>9.9 QR Video References</w:t>
      </w:r>
    </w:p>
    <w:tbl>
      <w:tblPr>
        <w:tblW w:type="auto" w:w="0"/>
        <w:tblLook w:firstColumn="1" w:firstRow="1" w:lastColumn="0" w:lastRow="0" w:noHBand="0" w:noVBand="1" w:val="04A0"/>
      </w:tblPr>
      <w:tblGrid>
        <w:gridCol w:w="3096"/>
        <w:gridCol w:w="3096"/>
      </w:tblGrid>
      <w:tr>
        <w:tc>
          <w:tcPr>
            <w:tcW w:type="dxa" w:w="3096"/>
          </w:tcPr>
          <w:p>
            <w:r>
              <w:t>Topic</w:t>
            </w:r>
          </w:p>
        </w:tc>
        <w:tc>
          <w:tcPr>
            <w:tcW w:type="dxa" w:w="3096"/>
          </w:tcPr>
          <w:p>
            <w:r>
              <w:t>Suggested Source</w:t>
            </w:r>
          </w:p>
        </w:tc>
      </w:tr>
      <w:tr>
        <w:tc>
          <w:tcPr>
            <w:tcW w:type="dxa" w:w="3096"/>
          </w:tcPr>
          <w:p>
            <w:r>
              <w:t>Construction Communication Best Practices</w:t>
            </w:r>
          </w:p>
        </w:tc>
        <w:tc>
          <w:tcPr>
            <w:tcW w:type="dxa" w:w="3096"/>
          </w:tcPr>
          <w:p>
            <w:r>
              <w:t>Project Management Institute – YouTube</w:t>
            </w:r>
          </w:p>
        </w:tc>
      </w:tr>
      <w:tr>
        <w:tc>
          <w:tcPr>
            <w:tcW w:type="dxa" w:w="3096"/>
          </w:tcPr>
          <w:p>
            <w:r>
              <w:t>RFI and Change Management Training</w:t>
            </w:r>
          </w:p>
        </w:tc>
        <w:tc>
          <w:tcPr>
            <w:tcW w:type="dxa" w:w="3096"/>
          </w:tcPr>
          <w:p>
            <w:r>
              <w:t>AEC Learning Portal – YouTube</w:t>
            </w:r>
          </w:p>
        </w:tc>
      </w:tr>
      <w:tr>
        <w:tc>
          <w:tcPr>
            <w:tcW w:type="dxa" w:w="3096"/>
          </w:tcPr>
          <w:p>
            <w:r>
              <w:t>Daily Report Templates</w:t>
            </w:r>
          </w:p>
        </w:tc>
        <w:tc>
          <w:tcPr>
            <w:tcW w:type="dxa" w:w="3096"/>
          </w:tcPr>
          <w:p>
            <w:r>
              <w:t>NIA Field Documentation Series – YouTube</w:t>
            </w:r>
          </w:p>
        </w:tc>
      </w:tr>
      <w:tr>
        <w:tc>
          <w:tcPr>
            <w:tcW w:type="dxa" w:w="3096"/>
          </w:tcPr>
          <w:p>
            <w:r>
              <w:t>Progress Tracking with EVM</w:t>
            </w:r>
          </w:p>
        </w:tc>
        <w:tc>
          <w:tcPr>
            <w:tcW w:type="dxa" w:w="3096"/>
          </w:tcPr>
          <w:p>
            <w:r>
              <w:t>DOE Project Controls – YouTube</w:t>
            </w:r>
          </w:p>
        </w:tc>
      </w:tr>
      <w:tr>
        <w:tc>
          <w:tcPr>
            <w:tcW w:type="dxa" w:w="3096"/>
          </w:tcPr>
          <w:p>
            <w:r>
              <w:t>Conflict Resolution in Teams</w:t>
            </w:r>
          </w:p>
        </w:tc>
        <w:tc>
          <w:tcPr>
            <w:tcW w:type="dxa" w:w="3096"/>
          </w:tcPr>
          <w:p>
            <w:r>
              <w:t>WorkSafe BC – YouTube</w:t>
            </w:r>
          </w:p>
        </w:tc>
      </w:tr>
    </w:tbl>
    <w:sectPr w:rsidR="00FC693F" w:rsidRPr="0006063C" w:rsidSect="00034616">
      <w:pgSz w:w="7920" w:h="12240"/>
      <w:pgMar w:top="720" w:right="720"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