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40" w:lineRule="auto"/>
        <w:jc w:val="center"/>
      </w:pPr>
      <w:r>
        <w:rPr>
          <w:rFonts w:ascii="Arial" w:hAnsi="Arial"/>
          <w:b/>
          <w:sz w:val="28"/>
        </w:rPr>
        <w:t>EARS-Net Q-Learning: Robust Antibiotic Selection Under Resistance Drift</w:t>
      </w:r>
    </w:p>
    <w:p>
      <w:pPr>
        <w:spacing w:after="0" w:line="240" w:lineRule="auto"/>
        <w:jc w:val="center"/>
      </w:pPr>
      <w:r>
        <w:rPr>
          <w:rFonts w:ascii="Times New Roman" w:hAnsi="Times New Roman"/>
          <w:sz w:val="28"/>
        </w:rPr>
        <w:t>Idan Dunsky</w:t>
      </w:r>
      <w:r>
        <w:rPr>
          <w:rFonts w:ascii="Times New Roman" w:hAnsi="Times New Roman"/>
          <w:sz w:val="20"/>
          <w:vertAlign w:val="superscript"/>
        </w:rPr>
        <w:t>1*</w:t>
      </w:r>
      <w:r>
        <w:rPr>
          <w:rFonts w:ascii="Times New Roman" w:hAnsi="Times New Roman"/>
          <w:sz w:val="28"/>
        </w:rPr>
        <w:t>, Yaniv Kaveh Shtul</w:t>
      </w:r>
      <w:r>
        <w:rPr>
          <w:rFonts w:ascii="Times New Roman" w:hAnsi="Times New Roman"/>
          <w:sz w:val="20"/>
          <w:vertAlign w:val="superscript"/>
        </w:rPr>
        <w:t>2</w:t>
      </w:r>
    </w:p>
    <w:p>
      <w:pPr>
        <w:spacing w:after="0" w:line="240" w:lineRule="auto"/>
        <w:jc w:val="center"/>
      </w:pPr>
      <w:r>
        <w:rPr>
          <w:rFonts w:ascii="Times New Roman" w:hAnsi="Times New Roman"/>
          <w:sz w:val="24"/>
        </w:rPr>
        <w:t>*lead presenter</w:t>
      </w:r>
    </w:p>
    <w:p>
      <w:pPr>
        <w:spacing w:after="0" w:line="240" w:lineRule="auto"/>
        <w:jc w:val="center"/>
      </w:pPr>
      <w:r>
        <w:rPr>
          <w:rFonts w:ascii="Times New Roman" w:hAnsi="Times New Roman"/>
          <w:sz w:val="18"/>
          <w:vertAlign w:val="superscript"/>
        </w:rPr>
        <w:t>1</w:t>
      </w:r>
      <w:r>
        <w:rPr>
          <w:rFonts w:ascii="Times New Roman" w:hAnsi="Times New Roman"/>
          <w:sz w:val="24"/>
        </w:rPr>
        <w:t>idan.dunsky@s.afeka.ac.il, Afeka Academic College of Engineering, Israel, ID: 319070595</w:t>
      </w:r>
    </w:p>
    <w:p>
      <w:pPr>
        <w:spacing w:after="0" w:line="240" w:lineRule="auto"/>
        <w:jc w:val="center"/>
      </w:pPr>
      <w:r>
        <w:rPr>
          <w:rFonts w:ascii="Times New Roman" w:hAnsi="Times New Roman"/>
          <w:sz w:val="18"/>
          <w:vertAlign w:val="superscript"/>
        </w:rPr>
        <w:t>2</w:t>
      </w:r>
      <w:r>
        <w:rPr>
          <w:rFonts w:ascii="Times New Roman" w:hAnsi="Times New Roman"/>
          <w:sz w:val="24"/>
        </w:rPr>
        <w:t>yaniv.kaveh.shtul@s.afeka.ac.il, Afeka Academic College of Engineering, Israel, ID: 206768004</w:t>
      </w:r>
    </w:p>
    <w:p>
      <w:pPr>
        <w:spacing w:line="240" w:lineRule="auto" w:after="240"/>
        <w:jc w:val="both"/>
      </w:pPr>
      <w:r>
        <w:rPr>
          <w:rFonts w:ascii="Times New Roman" w:hAnsi="Times New Roman"/>
          <w:sz w:val="24"/>
        </w:rPr>
        <w:t>Antimicrobial resistance complicates empirical antibiotic selection because susceptibility patterns vary across countries and time. This study evaluates whether Wasserstein-robust Q-learning maintains better one-year-ahead antibiotic coverage than classical Q-learning when European Escherichia coli resistance distributions shift.</w:t>
      </w:r>
    </w:p>
    <w:p>
      <w:pPr>
        <w:spacing w:line="240" w:lineRule="auto" w:after="240"/>
        <w:jc w:val="both"/>
      </w:pPr>
      <w:r>
        <w:rPr>
          <w:rFonts w:ascii="Times New Roman" w:hAnsi="Times New Roman"/>
          <w:sz w:val="24"/>
        </w:rPr>
        <w:t>Public EARS-Net surveillance data for invasive E. coli isolates from 2015-2024 were used to construct an eight-state, three-action Markov decision process after completeness filtering retained 28 countries. States encode binary resistance to third-generation cephalosporins, fluoroquinolones, and carbapenems; actions select one of these classes. Transitions are action-independent, and the primary reward is next-year susceptibility minus 0.10 for carbapenem use. Hyperparameters were selected with rolling-origin validation. The Wasserstein radius was calibrated from historical annual distribution shifts, and final policies were trained with 30 fixed seeds and checked against exact Bellman solutions.</w:t>
      </w:r>
    </w:p>
    <w:p>
      <w:pPr>
        <w:spacing w:line="240" w:lineRule="auto" w:after="240"/>
        <w:jc w:val="both"/>
      </w:pPr>
      <w:r>
        <w:rPr>
          <w:rFonts w:ascii="Times New Roman" w:hAnsi="Times New Roman"/>
          <w:sz w:val="24"/>
        </w:rPr>
        <w:t>Decisions made in 2020-2023 were evaluated against 110 observed country transitions ending in 2021-2024. The classical exact policy achieved 90.13% adjusted coverage, 96.58% raw susceptibility, and 64.55% carbapenem use. At the calibrated radius, the robust exact policy selected carbapenems in all eight states, achieving 89.76% adjusted coverage and 99.76% raw susceptibility with 100% carbapenem use. Thus, robustness increased raw susceptibility by 3.18 percentage points but reduced the primary endpoint by 0.36 points. No final training group satisfied the strict criterion that every seeded policy match its exact Bellman reference. In a prespecified cost-adjusted secondary scenario, the classical policy reduced carbapenem use to 49.09%.</w:t>
      </w:r>
    </w:p>
    <w:p>
      <w:pPr>
        <w:spacing w:line="240" w:lineRule="auto" w:after="240"/>
        <w:jc w:val="both"/>
      </w:pPr>
      <w:r>
        <w:rPr>
          <w:rFonts w:ascii="Times New Roman" w:hAnsi="Times New Roman"/>
          <w:sz w:val="24"/>
        </w:rPr>
        <w:t>Wasserstein robustness did not improve adjusted coverage in this surveillance-based formulation and shifted decisions toward uniformly broad treatment. The study contributes a reproducible application of robust Q-learning to antimicrobial-resistance drift and demonstrates why efficacy, stewardship penalties, and convergence diagnostics must be reported together. The findings are population-level, non-causal, and not patient-specific prescribing guidance.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EARS-Net Q-Learning: Robust Antibiotic Selection Under Resistance Drift</dc:title>
  <dc:subject>Reinforcement Learning final project abstract</dc:subject>
  <dc:creator>Idan Dunsky; Yaniv Kaveh Shtul</dc:creator>
  <cp:keywords>antimicrobial resistance; EARS-Net; robust Q-learning; Wasserstein uncertainty</cp:keywords>
  <dc:description>Final project abstract.</dc:description>
  <cp:lastModifiedBy>Idan Dunsky; Yaniv Kaveh Shtul</cp:lastModifiedBy>
  <cp:revision>1</cp:revision>
  <dcterms:created xsi:type="dcterms:W3CDTF">2013-12-23T23:15:00Z</dcterms:created>
  <dcterms:modified xsi:type="dcterms:W3CDTF">2013-12-23T23:15:00Z</dcterms:modified>
  <cp:category/>
</cp:coreProperties>
</file>