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40" w:lineRule="auto"/>
        <w:jc w:val="center"/>
      </w:pPr>
      <w:r>
        <w:rPr>
          <w:rFonts w:ascii="Arial" w:hAnsi="Arial"/>
          <w:b/>
          <w:sz w:val="28"/>
        </w:rPr>
        <w:t>EARS-Net Q-Learning: Robust Antibiotic Selection Under Resistance Drift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sz w:val="28"/>
        </w:rPr>
        <w:t>1*Dunsky, Idan, 2Kaveh Shtul, Yaniv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*lead presenter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1idan.dunsky@s.afeka.ac.il, Afeka Academic College of Engineering, Israel, ID: 319070595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2yaniv.kaveh.shtul@s.afeka.ac.il, Afeka Academic College of Engineering, Israel, ID: 206768004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sz w:val="24"/>
        </w:rPr>
        <w:t>Antimicrobial resistance makes empirical antibiotic selection difficult: susceptibility patterns differ between countries, and a policy that worked in one period may be unreliable a year later. This project asks whether Wasserstein-robust Q-learning can maintain antibiotic coverage when the observed resistance distribution shifts. Classical Q-learning provides the main comparison.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sz w:val="24"/>
        </w:rPr>
        <w:t>The analysis uses public EARS-Net surveillance data for invasive Escherichia coli isolates from 2015 to 2024. After completeness filtering, 28 countries are retained. Each country-year is represented by three binary resistance indicators, producing an eight-state Markov decision process. The actions are third-generation cephalosporins, fluoroquinolones, and carbapenems. Reward is defined as next-year susceptibility with a fixed penalty for carbapenem use. Antibiotic choice is not assumed to alter the following year's resistance state; the model is therefore population-informed and not a patient-level prescribing system.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sz w:val="24"/>
        </w:rPr>
        <w:t>Classical and Wasserstein-robust tabular Q-learning follow the sampled-trajectory and c-transform update of the reference algorithm. The uncertainty radius is calibrated from historical year-to-year changes in country state distributions. Hyperparameters are selected by rolling-origin validation, and exact finite-state Bellman solutions are used to check whether the sampled learners have converged. Policies chosen in 2020-2023 are evaluated against outcomes in 2021-2024 using adjusted coverage, raw susceptibility, carbapenem use, oracle regret, yearly performance, and worst-country reward.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sz w:val="24"/>
        </w:rPr>
        <w:t>Unlike the reference paper's illustrative control problems, this study applies Wasserstein-robust Q-learning to sparse, country-level antimicrobial-resistance surveillance. Robust learning will be considered useful only if it improves one-year-ahead adjusted coverage without achieving that improvement merely through greater carbapenem use. The intended contribution is a reproducible test of that trade-off under an observed temporal shift, together with a clear account of convergence and data limitations.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EARS-Net Q-Learning: Robust Antibiotic Selection Under Resistance Drift</dc:title>
  <dc:subject>Reinforcement Learning final project abstract</dc:subject>
  <dc:creator>Idan Dunsky; Yaniv Kaveh Shtul</dc:creator>
  <cp:keywords>antimicrobial resistance; EARS-Net; robust Q-learning; Wasserstein uncertainty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