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  <w:jc w:val="center"/>
      </w:pPr>
      <w:r>
        <w:rPr>
          <w:b/>
          <w:bCs/>
          <w:color w:val="1F4E79"/>
          <w:sz w:val="48"/>
          <w:szCs w:val="48"/>
        </w:rPr>
        <w:t xml:space="preserve">LDA 产业共建白皮书</w:t>
      </w:r>
    </w:p>
    <w:p>
      <w:pPr>
        <w:spacing w:before="120"/>
        <w:jc w:val="center"/>
      </w:pPr>
      <w:r>
        <w:rPr>
          <w:color w:val="404040"/>
          <w:sz w:val="26"/>
          <w:szCs w:val="26"/>
        </w:rPr>
        <w:t xml:space="preserve">开源 · Agent 原生的光芯片与量子芯片设计底座</w:t>
      </w:r>
    </w:p>
    <w:p>
      <w:pPr>
        <w:pBdr>
          <w:bottom w:val="single" w:color="2E75B6" w:sz="12" w:space="8"/>
        </w:pBdr>
        <w:spacing w:before="40"/>
        <w:jc w:val="center"/>
      </w:pPr>
      <w:r>
        <w:t xml:space="preserve"/>
      </w:r>
    </w:p>
    <w:p>
      <w:pPr>
        <w:spacing w:before="360"/>
        <w:jc w:val="center"/>
      </w:pPr>
      <w:r>
        <w:rPr>
          <w:color w:val="595959"/>
          <w:sz w:val="22"/>
          <w:szCs w:val="22"/>
        </w:rPr>
        <w:t xml:space="preserve">面向产业界 · 学界 · 投资界的生态共建邀请</w:t>
      </w:r>
    </w:p>
    <w:p>
      <w:pPr>
        <w:spacing w:before="200"/>
        <w:jc w:val="center"/>
      </w:pPr>
      <w:r>
        <w:rPr>
          <w:color w:val="808080"/>
          <w:sz w:val="20"/>
          <w:szCs w:val="20"/>
        </w:rPr>
        <w:t xml:space="preserve">文档编号：LDA-IW-001   |   版本：v1.1（2026-08-23 · 系统级里程碑落地）</w:t>
      </w:r>
    </w:p>
    <w:p>
      <w:pPr>
        <w:spacing w:before="40"/>
        <w:jc w:val="center"/>
      </w:pPr>
      <w:r>
        <w:rPr>
          <w:color w:val="808080"/>
          <w:sz w:val="20"/>
          <w:szCs w:val="20"/>
        </w:rPr>
        <w:t xml:space="preserve">编制日期：2026-08-16（v1.1 更新：2026-08-23）   |   密级：对外公开</w:t>
      </w:r>
    </w:p>
    <w:p>
      <w:pPr>
        <w:spacing w:before="40"/>
        <w:jc w:val="center"/>
      </w:pPr>
      <w:r>
        <w:rPr>
          <w:color w:val="808080"/>
          <w:sz w:val="20"/>
          <w:szCs w:val="20"/>
        </w:rPr>
        <w:t xml:space="preserve">编制：LDA 领域研究室（工业5点0产业生态联盟 · 杜玉河）</w:t>
      </w:r>
    </w:p>
    <w:p>
      <w:r>
        <w:br w:type="page"/>
      </w:r>
    </w:p>
    <w:p>
      <w:pPr>
        <w:pStyle w:val="Heading1"/>
        <w:spacing w:after="160"/>
      </w:pPr>
      <w:r>
        <w:rPr>
          <w:b/>
          <w:bCs/>
          <w:color w:val="1F4E79"/>
          <w:sz w:val="30"/>
          <w:szCs w:val="30"/>
        </w:rPr>
        <w:t xml:space="preserve">目录</w:t>
      </w:r>
    </w:p>
    <w:sdt>
      <w:sdtPr>
        <w:alias w:val="to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0. 执行摘要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光芯片（PDA）与量子芯片（QEDA）是未来十年最具战略价值的两条硬科技赛道，但它们的设计工具——EDA——长期被美系商业巨头垄断，且巨头出于自身商业模式，结构性地不会去做“开放内核”。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LDA（Lightwave Design Agent）要做的，不是又一个“帮工程师画图”的工具，而是一个开源、自主可控、由 AI 智能体直接编写底层求解内核的设计底座。我们用一个已被验证的事实说明这不是设想：</w:t>
      </w:r>
    </w:p>
    <w:p>
      <w:pPr>
        <w:pBdr>
          <w:left w:val="single" w:color="2E75B6" w:sz="18" w:space="12"/>
        </w:pBdr>
        <w:spacing w:after="160" w:before="80" w:line="320"/>
      </w:pPr>
      <w:r>
        <w:rPr>
          <w:i/>
          <w:iCs/>
          <w:color w:val="404040"/>
          <w:sz w:val="22"/>
          <w:szCs w:val="22"/>
        </w:rPr>
        <w:t xml:space="preserve">LDA 的 AI 智能体已经自己写出了 1D / 2D / 3D 电磁场求解器（FDTD），并在“物理定律”这一不可辩驳的真值锚上，逐题通过了 5/5 验证。这意味着——“AI 造设计内核”这条路，已经从论文设想，变成了跑通的代码。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本白皮书面向产业界、学界与投资界伙伴，说明：我们要解决什么问题、我们已经证明了什么、我们邀请各方以何种方式共建、以及我们需要的关键资源。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1. 我们为什么做这件事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1.1 产业在爆发，工具在断供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光子器件产业正被 AI 数据中心拉动高速增长：800G / 1.6T 光互联需求使硅光器件产业 2025 年增速达 37%+；光子 EDA 软件 2025 年约 13 亿美元、年复合增速约 12%。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量子芯片进入国产窗口期：国产与海外在 QEDA 上无明显代差，自主可控战略意义极强。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但工具被“卡”：2025 年起美系 EDA 巨头（Synopsys / Cadence / Siemens）对华断供风险持续；Synopsys 完成对 Ansys 的收购后，光子仿真旗舰 Lumerical 归入其体系，垄断在加深而非减弱。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1.2 巨头的“结构性盲区”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巨头（Synopsys / Cadence）的收入根基是可信商业求解器的授权费。一旦由 AI 长出“开放、可验证、免费”的内核，等于击穿自己的收费地基——所以它们只会把 AI 做成商业工具里的“辅助层”，永远不会做开放内核。</w:t>
      </w:r>
    </w:p>
    <w:p>
      <w:pPr>
        <w:pBdr>
          <w:left w:val="single" w:color="2E75B6" w:sz="18" w:space="12"/>
        </w:pBdr>
        <w:spacing w:after="160" w:before="80" w:line="320"/>
      </w:pPr>
      <w:r>
        <w:rPr>
          <w:i/>
          <w:iCs/>
          <w:color w:val="404040"/>
          <w:sz w:val="22"/>
          <w:szCs w:val="22"/>
        </w:rPr>
        <w:t xml:space="preserve">这给 LDA 留下一个真实、且巨头结构性不能进入的生态真空：跨光子 + 量子统一的开放标准层（中间表示 IR + 智能体协议）+ AI 自举求解核。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1.3 现有开源“不够”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开源的 gdsfactory 已跑通“画版图 / 管 PDK”的布局层——它是我们要站在肩上的基座，但不是护城河。它不占“统一标准层”，更没有“AI 写求解内核”。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2. LDA 是什么：三个定位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200"/>
        <w:gridCol w:w="2860"/>
      </w:tblGrid>
      <w:tr>
        <w:trPr>
          <w:tblHeader/>
        </w:trP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维度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LDA 的定位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我们不做的是什么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对标对象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不做巨头的设计工具竞品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不重造商业 EDA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技术层次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做 gdsfactory 之上的“开放标准与编排内核”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不重写布局层（已是成熟开源）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核心创新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 智能体直接编写、并验证底层求解内核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不让人“手调参数”，让 agent 出结果</w:t>
            </w:r>
          </w:p>
        </w:tc>
      </w:tr>
    </w:tbl>
    <w:p>
      <w:pPr>
        <w:spacing w:after="120" w:line="300"/>
        <w:jc w:val="left"/>
      </w:pPr>
      <w:r>
        <w:rPr>
          <w:b/>
          <w:bCs/>
          <w:color w:val="1F4E79"/>
          <w:sz w:val="21"/>
          <w:szCs w:val="21"/>
        </w:rPr>
        <w:t xml:space="preserve">一句话：LDA 是光芯片与量子芯片设计领域的“开放标准 + AI 造核”底座——中立、可插拔、能调度所有现存工具，并把研发过程本身也 agent 化。</w:t>
      </w:r>
    </w:p>
    <w:p>
      <w:pPr>
        <w:pStyle w:val="Heading3"/>
        <w:spacing w:after="80" w:before="140"/>
      </w:pPr>
      <w:r>
        <w:rPr>
          <w:b/>
          <w:bCs/>
          <w:color w:val="404040"/>
          <w:sz w:val="23"/>
          <w:szCs w:val="23"/>
        </w:rPr>
        <w:t xml:space="preserve">三大支柱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L0 统一中间表示（IR）：同一套机器语言，表达光子器件与量子器件的设计意图，使“电子-光子-量子协同设计”成为可能——巨头没认真做、gdsfactory 没占的真空格。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L1 智能体协议层：定义 Interpreter / Designer / Layout / Solver / Verifier 等开放接口，让多个 AI 智能体确定性、可验证地协作。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L3 AI 自举求解核：用 AI 写手 +（物理定律 + 实证大数据）裁判的闭环，长出可验证的求解器——这一步我们已经跑通。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3. 我们已证明了什么（核心差异化）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这一节是 LDA 区别于“又一个 PPT 项目”的关键。所有结论来自真实运行的自研代码与确定性验证脚本。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3.1 已交付：AI 自写的 FDTD 电磁求解核（1D / 2D / 3D）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3360"/>
        <w:gridCol w:w="1600"/>
      </w:tblGrid>
      <w:tr>
        <w:trPr>
          <w:tblHeader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维度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交付物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验证方式（非 AI 真值锚）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结果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1D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fdtd1d.py（零依赖，AI 自写）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传输矩阵解析解（tmm）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selfcheck 4/4 PASS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2D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fdtd2d.py（TEz Yee 网格）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解析解退化极限 + 点源柱面波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selfcheck 5/5 PASS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3D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fdtd3d.py（全 Yee 六分量）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解析解退化极限 + 点源球面波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selfcheck 5/5 PASS</w:t>
            </w:r>
          </w:p>
        </w:tc>
      </w:tr>
    </w:tbl>
    <w:p>
      <w:pPr>
        <w:pBdr>
          <w:left w:val="single" w:color="2E75B6" w:sz="18" w:space="12"/>
        </w:pBdr>
        <w:spacing w:after="160" w:before="80" w:line="320"/>
      </w:pPr>
      <w:r>
        <w:rPr>
          <w:i/>
          <w:iCs/>
          <w:color w:val="404040"/>
          <w:sz w:val="22"/>
          <w:szCs w:val="22"/>
        </w:rPr>
        <w:t xml:space="preserve">1D / 2D / 3D 全维度，透射谱均已无需借任何商业/美系求解器即得——这是“自主可控求解内核”路径第一个可运行、可复核的实证。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3.2 已交付：性能升维（已具备生产级 CPU 性能）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Numba-CPU JIT 加速：与纯参考实现逐字节等价，同精度 5/5 通过，约 20× 加速（16 分 19 秒 → 0.8 分）。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PyTorch 可切换 GPU/CPU 张量化后端：复用同一套几何构造、算法完全一致、CPU 上 5/5 逐位一致；device='cuda' 一行即切换 GPU——装上 CUDA 轮子即可点亮。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3.3 我们的“不可妥协”：验证底线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AI 写手 + AI 裁判可以最大化，但裁判最终判定必须落“非 AI 真值锚”——这是数学约束，不是保守：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① 物理定律锚：解析解、麦克斯韦方程确定性计算——方程的必然，不是某人的意见。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② 实证大数据锚：跨多源真实流片 / 测量语料，众人贡献、越用越厚。</w:t>
      </w:r>
    </w:p>
    <w:p>
      <w:pPr>
        <w:pBdr>
          <w:left w:val="single" w:color="2E75B6" w:sz="18" w:space="12"/>
        </w:pBdr>
        <w:spacing w:after="160" w:before="80" w:line="320"/>
      </w:pPr>
      <w:r>
        <w:rPr>
          <w:i/>
          <w:iCs/>
          <w:color w:val="404040"/>
          <w:sz w:val="22"/>
          <w:szCs w:val="22"/>
        </w:rPr>
        <w:t xml:space="preserve">没有任何外部真值的“纯 AI 互证”，等于两个 AI 互相点头——错了也被确认。此线不可破。这也是 LDA 赢得产业信任的根本。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4. 架构与护城河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4.1 分层架构（L0–L4）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L4 应用与生态（用户层 / 开源社区 / 认证商业版）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L3 求解器后端（FDTD/FEM/EME/量子哈密顿 ← AI 自举生成 / 插件调度）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L2 开放 PDK / 器件本体 Registry（社区 + 晶圆厂共建）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L1 智能体协议层（Interpreter/Designer/Layout/Solver/Verifier 开放接口）</w:t>
      </w:r>
    </w:p>
    <w:p>
      <w:pPr>
        <w:spacing w:after="120" w:line="300"/>
        <w:jc w:val="left"/>
      </w:pPr>
      <w:r>
        <w:rPr>
          <w:b/>
          <w:bCs/>
          <w:color w:val="1F4E79"/>
          <w:sz w:val="21"/>
          <w:szCs w:val="21"/>
        </w:rPr>
        <w:t xml:space="preserve">L0 开放统一 IR/DSL（光子 + 量子统一中间表示）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护城河 = 标准 + 生态 + PDK 供给，而非某一段求解器代码。巨头与现有开源都没有占这一层。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4.2 自主可控（主权）策略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7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级别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含义</w:t>
            </w:r>
          </w:p>
        </w:tc>
        <w:tc>
          <w:tcPr>
            <w:tcW w:type="dxa" w:w="4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实例与处置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永久自主（C 级）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第一天就自己掌握</w:t>
            </w:r>
          </w:p>
        </w:tc>
        <w:tc>
          <w:tcPr>
            <w:tcW w:type="dxa" w:w="4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L0 IR / L1 协议 / L3 AI 求解核 / 物理定律锚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主权化复用（B 级）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fork + 镜像冷备，离线可构建</w:t>
            </w:r>
          </w:p>
        </w:tc>
        <w:tc>
          <w:tcPr>
            <w:tcW w:type="dxa" w:w="4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gdsfactory、Meep、KLayout、SAX 等开源组件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绝不依赖（A 级）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直接不采用</w:t>
            </w:r>
          </w:p>
        </w:tc>
        <w:tc>
          <w:tcPr>
            <w:tcW w:type="dxa" w:w="4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美系商业求解器（Lumerical / Ansys / Synopsys / Cadence）</w:t>
            </w:r>
          </w:p>
        </w:tc>
      </w:tr>
    </w:tbl>
    <w:p>
      <w:pPr>
        <w:spacing w:after="120" w:line="300"/>
        <w:jc w:val="left"/>
      </w:pPr>
      <w:r>
        <w:rPr>
          <w:sz w:val="21"/>
          <w:szCs w:val="21"/>
        </w:rPr>
        <w:t xml:space="preserve">GPL 红线：GPL 组件仅作外部进程调用，绝不污染核心代码的许可。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5. 生态共建模型：双引擎 + 四大集群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5.1 双引擎人群（LDA 开源生态的人力核心）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2100"/>
        <w:gridCol w:w="3160"/>
      </w:tblGrid>
      <w:tr>
        <w:trPr>
          <w:tblHeader/>
        </w:trP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引擎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人群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诉求契合点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学生引擎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光电 / 微电子 / 量子 / 计算方向硕博与本科生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开源贡献生力军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把“自然语言 → GDSII”做成毕设 / 科研课题 / 竞赛题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退休专家引擎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EDA 老炮、光电半导体退休研究员、高校退休博导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顾问 / 导师 / 质量背书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有资源、有情怀、有时间，退休再发挥余热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5.2 四大对接集群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200"/>
        <w:gridCol w:w="3760"/>
      </w:tblGrid>
      <w:tr>
        <w:trPr>
          <w:tblHeader/>
        </w:trP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集群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核心机构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主打价值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武汉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武汉光电国家研究中心 / NOEIC / 华科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硅光 PDK + 学生密度全国最高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重庆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CUMEC（开放硅光工艺平台）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开放 PDK 对接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上海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SITRI / 图灵量子 / 芯和 / 华大九天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PDK + 光量子 + EDA 老炮三重富集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合肥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中科大 / 本源 / 国盾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量子最强院校 + 量子企业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5.3 企业 / 晶圆厂协同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硅光代工 PDK：NOEIC / CUMEC / SITRI 等——对接本土工艺，共建“自主可控”牌。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光模块 / 光子计算 / 量子芯片企业：中际旭创、新易盛、曦智、图灵量子、本源、国盾等——既是潜在用户，也是退休专家来源与实测语料来源。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EDA 企业退休群体：华大九天 / 概伦 / 芯华章等——补足“基准题策展”与“信任墙”两块关键短板。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6. 资源诉求（我们邀请各方共建什么）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LDA 已用极小成本证明了技术可行性。要把“可用的内核”变成“产业可用的生态”，需要以下关键资源。我们坚持“开发主权 AI 自举、验证与语料开放协作”的原则——不外包核心开发，但诚挚邀请各方在各自可即插即用的资产上共建。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6.1 关键资源清单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260"/>
        <w:gridCol w:w="2500"/>
        <w:gridCol w:w="190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资源类别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具体诉求</w:t>
            </w:r>
          </w:p>
        </w:tc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用于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回报方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算力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自配 GPU 部署机（RTX 50 系 / 数据中心级）</w:t>
            </w:r>
          </w:p>
        </w:tc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点亮 3D GPU 求解核、攻生产级超大网格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算力提供方（联合研发 / 署名）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实测语料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真实流片 / 测量数据（S 参数、n_eff、透射谱）</w:t>
            </w:r>
          </w:p>
        </w:tc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建“实证大数据锚”，让 AI 裁判可信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晶圆厂 / 器件企业 / 高校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顾问与背书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退休 EDA 老炮、光电 / 量子退休研究员入库</w:t>
            </w:r>
          </w:p>
        </w:tc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把关基准题、为开源内核背书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顾问委员会成员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院校合作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毕设 / 竞赛 / 科研课题联合设立</w:t>
            </w:r>
          </w:p>
        </w:tc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学生引擎开源贡献冷启动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高校实验室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晶圆厂 PDK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本土硅光 PDK 对接意向</w:t>
            </w:r>
          </w:p>
        </w:tc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打通“设计 → 签核 → 流片”闭环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PDK 供给方（生态位卡位）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资金 / 商业合作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认证版研发、垂直场景落地、赛事运营</w:t>
            </w:r>
          </w:p>
        </w:tc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阶段 3 商业试点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战略投资 / 产业合作方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6.2 我们能给出什么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定义标准的先发卡位：L0/L1 开放标准的共同制定权。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可信验证基建：公开对抗性基准 + 反向悬赏，共建行业信任。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自主可控底座：对美系断供风险的结构性对冲，对国产替代的直接支撑。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成果共享：开源内核免费使用；认证版提供 SLA 与责任兜底（红帽模式）。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7. 路线图与里程碑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阶段0 战略奠基 ✅  →  阶段1 技术验证（进行中）  →  阶段2 生态启动  →  阶段3 商业试点  →  阶段4 规模扩张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5760"/>
      </w:tblGrid>
      <w:tr>
        <w:trPr>
          <w:tblHeader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阶段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主题</w:t>
            </w:r>
          </w:p>
        </w:tc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当前状态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战略奠基</w:t>
            </w:r>
          </w:p>
        </w:tc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✅ 已完成（战略纪要、主权政策、4 份分析文档）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技术验证</w:t>
            </w:r>
          </w:p>
        </w:tc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🔶 进行中：FDTD 1D/2D/3D + 性能升维已实证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生态启动</w:t>
            </w:r>
          </w:p>
        </w:tc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⏳ 开源首发 + 基准套件 + 双引擎招募（本白皮书即启动动作之一）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商业试点</w:t>
            </w:r>
          </w:p>
        </w:tc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⏳ 认证版 + 首个 PDK 合作 + 垂直场景落地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规模扩张</w:t>
            </w:r>
          </w:p>
        </w:tc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⏳ 跨赛道 / 跨区域复制 + 标准话语权</w:t>
            </w:r>
          </w:p>
        </w:tc>
      </w:tr>
    </w:tbl>
    <w:p>
      <w:pPr>
        <w:spacing w:after="120" w:line="300"/>
        <w:jc w:val="left"/>
      </w:pPr>
      <w:r>
        <w:rPr>
          <w:b/>
          <w:bCs/>
          <w:color w:val="1F4E79"/>
          <w:sz w:val="21"/>
          <w:szCs w:val="21"/>
        </w:rPr>
        <w:t xml:space="preserve">已固化决策：光子优先、量子后上；先单点垂直场景、后统一。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8. 风险与治理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sz w:val="21"/>
          <w:szCs w:val="21"/>
        </w:rPr>
        <w:t xml:space="preserve">验证底线不可破：裁判最终判定强制落物理定律 + 大数据锚——这是信任的来源。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sz w:val="21"/>
          <w:szCs w:val="21"/>
        </w:rPr>
        <w:t xml:space="preserve">主权红线：A 级永借、B 级主权化、C 级自主；GPL 组件仅外部调用。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sz w:val="21"/>
          <w:szCs w:val="21"/>
        </w:rPr>
        <w:t xml:space="preserve">窗口竞速：每个阶段末尾交付“可公开锁定”的资产（标准草案 / 基准 / PDK 意向），用先发筑墙。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sz w:val="21"/>
          <w:szCs w:val="21"/>
        </w:rPr>
        <w:t xml:space="preserve">责任归属：开源 AS-IS 免责 + 认证版 SLA，签核责任落在设计师 + 代工 PDK。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sz w:val="21"/>
          <w:szCs w:val="21"/>
        </w:rPr>
        <w:t xml:space="preserve">诚实边界：主权核以 float64 运行，在消费级 GPU 上加速比可能不及数据中心卡——我们如实标注，绝不夸大。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9. 如何参与（行动号召）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院校 / 学生：认领一个“Good First Issue”，把光子 / 量子设计自动化做成课题。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退休专家：加入顾问委员会，把关基准、为自主内核背书——退休再发挥一次余热。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晶圆厂 / 器件企业：提供 PDK 或实测语料，共建“实证大数据锚”，锁定生态位。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投资 / 产业方：联合点亮 GPU 算力与垂直场景，共享定义标准与自主可控的红利。</w:t>
      </w:r>
    </w:p>
    <w:p>
      <w:pPr>
        <w:pBdr>
          <w:left w:val="single" w:color="2E75B6" w:sz="18" w:space="12"/>
        </w:pBdr>
        <w:spacing w:after="160" w:before="80" w:line="320"/>
      </w:pPr>
      <w:r>
        <w:rPr>
          <w:i/>
          <w:iCs/>
          <w:color w:val="404040"/>
          <w:sz w:val="22"/>
          <w:szCs w:val="22"/>
        </w:rPr>
        <w:t xml:space="preserve">联系：工业5点0产业生态联盟 · 杜玉河（微信号：gongyhlw）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附录 A · v1.1 更新（2026-08-23 · v0.5 系统级里程碑）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v0.5（git tag v0.5）在 v0.4 真实化之上新增三块能力，形成“设计目标 → 已验证器件/系统/标准/逆设计”完整开源基线：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sz w:val="21"/>
          <w:szCs w:val="21"/>
        </w:rPr>
        <w:t xml:space="preserve">系统级（M7 三件）：热光可调 WDM（Δλ/λ=(dn/dT)·R_th·P/n_eff 物理定律锚 + 信道重分配）、量子门/纠错拓扑（门库幺正性 + surface code k=1 + CR 门）、大规模系统基准（8 WDM×8 qubit 联合压测 + 容量自洽 + IL/间隔/网格四边界）。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sz w:val="21"/>
          <w:szCs w:val="21"/>
        </w:rPr>
        <w:t xml:space="preserve">护城河两件：L0 IR 开放标准 v0.3 定稿（docs/ir_spec.md + JSON Schema + 零漂移校验——社区共建起点，标准文档即真值）；验证合约工业化（run_ci_regression.py 一键全量回归 27 PASS/0 FAIL + 性能基准 + 基线漂移监控——协作门槛降低）。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sz w:val="21"/>
          <w:szCs w:val="21"/>
        </w:rPr>
        <w:t xml:space="preserve">逆设计纵深四阶（Track A）：谱形目标（分束比 0.574 / 3 波长谱形 11.7× / 模式匹配 8.6×）→ 形状逆设计（宽度曲线控制点，可制造性内建 DRC，imp 6.6× + Pareto 多目标）→ 形状+拓扑混合（分层表达，概率 OR 光滑组合，混合 imp 18.3× vs 纯形状 6.0×，增益 3.06×）——逼近商业 EDA adjoint 逆设计核心卖点。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WebUI 四十三面板，全部交付三端（本地/Gitee/GitHub）tree 级零差异同步。诚实边界：2D TEz 求解为主（3D 端口验收小几何）、系统级链路为解析物理模型、实证大数据锚待发动期数据（D-62 暂缓）、不宣称签核级。</w:t>
      </w:r>
    </w:p>
    <w:p>
      <w:pPr>
        <w:pBdr>
          <w:top w:val="single" w:color="BFBFBF" w:sz="6" w:space="8"/>
        </w:pBdr>
        <w:spacing w:before="200"/>
      </w:pPr>
      <w:r>
        <w:rPr>
          <w:i/>
          <w:iCs/>
          <w:color w:val="808080"/>
          <w:sz w:val="18"/>
          <w:szCs w:val="18"/>
        </w:rPr>
        <w:t xml:space="preserve">本白皮书依据 LDA 前期战略文档包（可行性分析、技术白皮书、市场竞争与赛道分析、发展里程碑与路线图）提炼对外版本，关键技术结论均来自真实运行的自研代码与确定性验证脚本。</w:t>
      </w:r>
    </w:p>
    <w:sectPr>
      <w:footerReference w:type="default" r:id="rId7"/>
      <w:pgSz w:w="11906" w:h="16838" w:orient="portrait"/>
      <w:pgMar w:top="144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LDA 产业共建白皮书 v1.1 · 工业5点0产业生态联盟 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icrosoft YaHei" w:cs="Microsoft YaHei" w:eastAsia="Microsoft YaHei" w:hAnsi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Microsoft YaHei" w:cs="Microsoft YaHei" w:eastAsia="Microsoft YaHei" w:hAnsi="Microsoft YaHei"/>
      <w:b/>
      <w:bCs/>
      <w:color w:val="40404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2026-09-16T08:24:23.038Z</dcterms:created>
  <dcterms:modified xsi:type="dcterms:W3CDTF">2026-09-16T08:24:23.039Z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