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40"/>
        </w:rPr>
        <w:t>LDA 电子计算征程 · E19 列侧共享的动态代价</w:t>
      </w:r>
    </w:p>
    <w:p>
      <w:pPr>
        <w:spacing w:after="160"/>
      </w:pPr>
      <w:r>
        <w:rPr>
          <w:rFonts w:ascii="Microsoft YaHei" w:hAnsi="Microsoft YaHei" w:eastAsia="Microsoft YaHei"/>
          <w:color w:val="475669"/>
          <w:sz w:val="21"/>
        </w:rPr>
        <w:t>D-194 · v0.9.169 · 闭合 E18（列侧共享与架构权衡）G-S 自点名缺口</w:t>
      </w:r>
    </w:p>
    <w:p>
      <w:pPr>
        <w:spacing w:before="160" w:after="200" w:line="360" w:lineRule="auto"/>
        <w:shd w:val="clear" w:color="auto" w:fill="FEF2F2"/>
        <w:pBdr>
          <w:top w:val="single" w:sz="8" w:space="6" w:color="FECACA"/>
          <w:bottom w:val="single" w:sz="8" w:space="6" w:color="FECACA"/>
          <w:left w:val="single" w:sz="24" w:space="6" w:color="FECACA"/>
          <w:right w:val="single" w:sz="8" w:space="6" w:color="FECACA"/>
        </w:pBdr>
      </w:pPr>
      <w:r>
        <w:rPr>
          <w:rFonts w:ascii="Microsoft YaHei" w:hAnsi="Microsoft YaHei" w:eastAsia="Microsoft YaHei"/>
          <w:b/>
          <w:color w:val="B91C1C"/>
          <w:sz w:val="21"/>
        </w:rPr>
        <w:t>🔴 诚实边界：</w:t>
      </w:r>
      <w:r>
        <w:rPr>
          <w:rFonts w:ascii="Microsoft YaHei" w:hAnsi="Microsoft YaHei" w:eastAsia="Microsoft YaHei"/>
          <w:color w:val="B91C1C"/>
          <w:sz w:val="21"/>
        </w:rPr>
        <w:t>开关尺寸 / 重叠 / 抖动 / 信号频率均为公开量级占位（非 PDK）；不做功耗估算 ⇒ 不谈能效；绝不报 TOPS / TOPS-W / fJ/op。本页为只读设计期验证摘要，非流片后实测。</w:t>
      </w:r>
    </w:p>
    <w:p>
      <w:pPr>
        <w:spacing w:before="320" w:after="120"/>
        <w:pBdr>
          <w:bottom w:val="single" w:sz="10" w:space="4" w:color="2563EB"/>
        </w:pBdr>
      </w:pPr>
      <w:r>
        <w:rPr>
          <w:rFonts w:ascii="Microsoft YaHei" w:hAnsi="Microsoft YaHei" w:eastAsia="Microsoft YaHei"/>
          <w:b/>
          <w:color w:val="2563EB"/>
          <w:sz w:val="28"/>
        </w:rPr>
        <w:t>① 复用开关电荷注入 + 时钟馈通</w:t>
      </w:r>
    </w:p>
    <w:p>
      <w:pPr>
        <w:spacing w:before="120" w:after="160" w:line="384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开关关断瞬间沟道电荷注入采样电容，且时钟经栅漏重叠耦合。确定性 pedestal = Q_inj/C_s + ΔV_ft，可由每列/每开关单点失调校准消除（不进精度预算）；校准后幸存的 Pelgrom 随机残差 σ_ped = α·(C_ox·W·L)/C_s·σ_ΔVth。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340"/>
            <w:shd w:val="clear" w:color="auto" w:fill="FFFFFF"/>
          </w:tcPr>
          <w:p>
            <w:pPr>
              <w:spacing w:before="120" w:after="40"/>
            </w:pPr>
            <w:r>
              <w:rPr>
                <w:rFonts w:ascii="Microsoft YaHei" w:hAnsi="Microsoft YaHei" w:eastAsia="Microsoft YaHei"/>
                <w:b/>
                <w:color w:val="2563EB"/>
                <w:sz w:val="34"/>
              </w:rPr>
              <w:t>119.04 mV</w:t>
            </w:r>
          </w:p>
          <w:p>
            <w:pPr>
              <w:spacing w:before="0" w:after="120" w:line="312" w:lineRule="auto"/>
            </w:pPr>
            <w:r>
              <w:rPr>
                <w:rFonts w:ascii="Microsoft YaHei" w:hAnsi="Microsoft YaHei" w:eastAsia="Microsoft YaHei"/>
                <w:color w:val="475669"/>
                <w:sz w:val="19"/>
              </w:rPr>
              <w:t>确定性 pedestal（11.90% FS）· 可校准剔除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120" w:after="40"/>
            </w:pPr>
            <w:r>
              <w:rPr>
                <w:rFonts w:ascii="Microsoft YaHei" w:hAnsi="Microsoft YaHei" w:eastAsia="Microsoft YaHei"/>
                <w:b/>
                <w:color w:val="2563EB"/>
                <w:sz w:val="34"/>
              </w:rPr>
              <w:t>28.85 µV</w:t>
            </w:r>
          </w:p>
          <w:p>
            <w:pPr>
              <w:spacing w:before="0" w:after="120" w:line="312" w:lineRule="auto"/>
            </w:pPr>
            <w:r>
              <w:rPr>
                <w:rFonts w:ascii="Microsoft YaHei" w:hAnsi="Microsoft YaHei" w:eastAsia="Microsoft YaHei"/>
                <w:color w:val="475669"/>
                <w:sz w:val="19"/>
              </w:rPr>
              <w:t>Pelgrom 随机残差（0.0029% FS）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120" w:after="40"/>
            </w:pPr>
            <w:r>
              <w:rPr>
                <w:rFonts w:ascii="Microsoft YaHei" w:hAnsi="Microsoft YaHei" w:eastAsia="Microsoft YaHei"/>
                <w:b/>
                <w:color w:val="2563EB"/>
                <w:sz w:val="34"/>
              </w:rPr>
              <w:t>≪ 64.4 µV</w:t>
            </w:r>
          </w:p>
          <w:p>
            <w:pPr>
              <w:spacing w:before="0" w:after="120" w:line="312" w:lineRule="auto"/>
            </w:pPr>
            <w:r>
              <w:rPr>
                <w:rFonts w:ascii="Microsoft YaHei" w:hAnsi="Microsoft YaHei" w:eastAsia="Microsoft YaHei"/>
                <w:color w:val="475669"/>
                <w:sz w:val="19"/>
              </w:rPr>
              <w:t>残差 ≪ kT/C（E18 地板）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120" w:after="40"/>
            </w:pPr>
            <w:r>
              <w:rPr>
                <w:rFonts w:ascii="Microsoft YaHei" w:hAnsi="Microsoft YaHei" w:eastAsia="Microsoft YaHei"/>
                <w:b/>
                <w:color w:val="2563EB"/>
                <w:sz w:val="34"/>
              </w:rPr>
              <w:t>≪ 3.906 mV</w:t>
            </w:r>
          </w:p>
          <w:p>
            <w:pPr>
              <w:spacing w:before="0" w:after="120" w:line="312" w:lineRule="auto"/>
            </w:pPr>
            <w:r>
              <w:rPr>
                <w:rFonts w:ascii="Microsoft YaHei" w:hAnsi="Microsoft YaHei" w:eastAsia="Microsoft YaHei"/>
                <w:color w:val="475669"/>
                <w:sz w:val="19"/>
              </w:rPr>
              <w:t>残差 ≪ 1 LSB（8 bit）</w:t>
            </w:r>
          </w:p>
        </w:tc>
      </w:tr>
    </w:tbl>
    <w:p>
      <w:pPr>
        <w:spacing w:before="160" w:after="200" w:line="360" w:lineRule="auto"/>
        <w:shd w:val="clear" w:color="auto" w:fill="EFF6FF"/>
        <w:pBdr>
          <w:top w:val="single" w:sz="8" w:space="6" w:color="BFDFFE"/>
          <w:bottom w:val="single" w:sz="8" w:space="6" w:color="BFDFFE"/>
          <w:left w:val="single" w:sz="24" w:space="6" w:color="BFDFFE"/>
          <w:right w:val="single" w:sz="8" w:space="6" w:color="BFDFFE"/>
        </w:pBdr>
      </w:pPr>
      <w:r>
        <w:rPr>
          <w:rFonts w:ascii="Microsoft YaHei" w:hAnsi="Microsoft YaHei" w:eastAsia="Microsoft YaHei"/>
          <w:b/>
          <w:color w:val="1E3A8A"/>
          <w:sz w:val="21"/>
        </w:rPr>
        <w:t>🔴 结论：</w:t>
      </w:r>
      <w:r>
        <w:rPr>
          <w:rFonts w:ascii="Microsoft YaHei" w:hAnsi="Microsoft YaHei" w:eastAsia="Microsoft YaHei"/>
          <w:color w:val="1E3A8A"/>
          <w:sz w:val="21"/>
        </w:rPr>
        <w:t>真成本不是精度、是校准负担（N 列需 N 次失调校准）；随机残差可忽略 ⇒ 不是精度墙（与 E16「共模漂移可被单次全局校准消除」同口径）。</w:t>
      </w:r>
    </w:p>
    <w:p>
      <w:pPr>
        <w:spacing w:before="320" w:after="120"/>
        <w:pBdr>
          <w:bottom w:val="single" w:sz="10" w:space="4" w:color="2563EB"/>
        </w:pBdr>
      </w:pPr>
      <w:r>
        <w:rPr>
          <w:rFonts w:ascii="Microsoft YaHei" w:hAnsi="Microsoft YaHei" w:eastAsia="Microsoft YaHei"/>
          <w:b/>
          <w:color w:val="2563EB"/>
          <w:sz w:val="28"/>
        </w:rPr>
        <w:t>② 采样孔径抖动（最坏口径）</w:t>
      </w:r>
    </w:p>
    <w:p>
      <w:pPr>
        <w:spacing w:before="120" w:after="160" w:line="384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σ_v = π·f·V_ref·σ_t（满量程正弦最陡斜率最坏口径），地板仍是 E18 的 σ=√(kT/C_s)。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340"/>
            <w:shd w:val="clear" w:color="auto" w:fill="FFFFFF"/>
          </w:tcPr>
          <w:p>
            <w:pPr>
              <w:spacing w:before="120" w:after="40"/>
            </w:pPr>
            <w:r>
              <w:rPr>
                <w:rFonts w:ascii="Microsoft YaHei" w:hAnsi="Microsoft YaHei" w:eastAsia="Microsoft YaHei"/>
                <w:b/>
                <w:color w:val="2563EB"/>
                <w:sz w:val="34"/>
              </w:rPr>
              <w:t>314.16 µV</w:t>
            </w:r>
          </w:p>
          <w:p>
            <w:pPr>
              <w:spacing w:before="0" w:after="120" w:line="312" w:lineRule="auto"/>
            </w:pPr>
            <w:r>
              <w:rPr>
                <w:rFonts w:ascii="Microsoft YaHei" w:hAnsi="Microsoft YaHei" w:eastAsia="Microsoft YaHei"/>
                <w:color w:val="475669"/>
                <w:sz w:val="19"/>
              </w:rPr>
              <w:t>σ_v @ 100 MHz（0.031% FS）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120" w:after="40"/>
            </w:pPr>
            <w:r>
              <w:rPr>
                <w:rFonts w:ascii="Microsoft YaHei" w:hAnsi="Microsoft YaHei" w:eastAsia="Microsoft YaHei"/>
                <w:b/>
                <w:color w:val="2563EB"/>
                <w:sz w:val="34"/>
              </w:rPr>
              <w:t>20.49 MHz</w:t>
            </w:r>
          </w:p>
          <w:p>
            <w:pPr>
              <w:spacing w:before="0" w:after="120" w:line="312" w:lineRule="auto"/>
            </w:pPr>
            <w:r>
              <w:rPr>
                <w:rFonts w:ascii="Microsoft YaHei" w:hAnsi="Microsoft YaHei" w:eastAsia="Microsoft YaHei"/>
                <w:color w:val="475669"/>
                <w:sz w:val="19"/>
              </w:rPr>
              <w:t>越过 kT/C 地板频率 f_ktc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120" w:after="40"/>
            </w:pPr>
            <w:r>
              <w:rPr>
                <w:rFonts w:ascii="Microsoft YaHei" w:hAnsi="Microsoft YaHei" w:eastAsia="Microsoft YaHei"/>
                <w:b/>
                <w:color w:val="2563EB"/>
                <w:sz w:val="34"/>
              </w:rPr>
              <w:t>1243.4 MHz</w:t>
            </w:r>
          </w:p>
          <w:p>
            <w:pPr>
              <w:spacing w:before="0" w:after="120" w:line="312" w:lineRule="auto"/>
            </w:pPr>
            <w:r>
              <w:rPr>
                <w:rFonts w:ascii="Microsoft YaHei" w:hAnsi="Microsoft YaHei" w:eastAsia="Microsoft YaHei"/>
                <w:color w:val="475669"/>
                <w:sz w:val="19"/>
              </w:rPr>
              <w:t>越过 LSB 频率 f_lsb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120" w:after="40"/>
            </w:pPr>
            <w:r>
              <w:rPr>
                <w:rFonts w:ascii="Microsoft YaHei" w:hAnsi="Microsoft YaHei" w:eastAsia="Microsoft YaHei"/>
                <w:b/>
                <w:color w:val="2563EB"/>
                <w:sz w:val="34"/>
              </w:rPr>
              <w:t>条件性</w:t>
            </w:r>
          </w:p>
          <w:p>
            <w:pPr>
              <w:spacing w:before="0" w:after="120" w:line="312" w:lineRule="auto"/>
            </w:pPr>
            <w:r>
              <w:rPr>
                <w:rFonts w:ascii="Microsoft YaHei" w:hAnsi="Microsoft YaHei" w:eastAsia="Microsoft YaHei"/>
                <w:color w:val="475669"/>
                <w:sz w:val="19"/>
              </w:rPr>
              <w:t>非精度限</w:t>
            </w:r>
          </w:p>
        </w:tc>
      </w:tr>
    </w:tbl>
    <w:p>
      <w:pPr>
        <w:spacing w:before="160" w:after="200" w:line="360" w:lineRule="auto"/>
        <w:shd w:val="clear" w:color="auto" w:fill="EFF6FF"/>
        <w:pBdr>
          <w:top w:val="single" w:sz="8" w:space="6" w:color="BFDFFE"/>
          <w:bottom w:val="single" w:sz="8" w:space="6" w:color="BFDFFE"/>
          <w:left w:val="single" w:sz="24" w:space="6" w:color="BFDFFE"/>
          <w:right w:val="single" w:sz="8" w:space="6" w:color="BFDFFE"/>
        </w:pBdr>
      </w:pPr>
      <w:r>
        <w:rPr>
          <w:rFonts w:ascii="Microsoft YaHei" w:hAnsi="Microsoft YaHei" w:eastAsia="Microsoft YaHei"/>
          <w:b/>
          <w:color w:val="1E3A8A"/>
          <w:sz w:val="21"/>
        </w:rPr>
        <w:t>说明：</w:t>
      </w:r>
      <w:r>
        <w:rPr>
          <w:rFonts w:ascii="Microsoft YaHei" w:hAnsi="Microsoft YaHei" w:eastAsia="Microsoft YaHei"/>
          <w:color w:val="1E3A8A"/>
          <w:sz w:val="21"/>
        </w:rPr>
        <w:t>孔径抖动在低/中带宽被 kT/C 与 LSB 埋住；仅当输入带宽 &gt;~20 MHz 才越过热噪地板、&gt;~1.2 GHz 才越 LSB ⇒ 条件性，非墙。且 σ_v 与 C 无关，保吞吐共享抬高了 kT/C 地板⇒ 抖动相对更显著（反相关于 E18 静态收益）。</w:t>
      </w:r>
    </w:p>
    <w:p>
      <w:pPr>
        <w:spacing w:before="320" w:after="120"/>
        <w:pBdr>
          <w:bottom w:val="single" w:sz="10" w:space="4" w:color="2563EB"/>
        </w:pBdr>
      </w:pPr>
      <w:r>
        <w:rPr>
          <w:rFonts w:ascii="Microsoft YaHei" w:hAnsi="Microsoft YaHei" w:eastAsia="Microsoft YaHei"/>
          <w:b/>
          <w:color w:val="2563EB"/>
          <w:sz w:val="28"/>
        </w:rPr>
        <w:t>③ 多路开关建立时间对吞吐的侵蚀</w:t>
      </w:r>
    </w:p>
    <w:p>
      <w:pPr>
        <w:spacing w:before="120" w:after="160" w:line="384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τ_mux = R_on·C_s，t_mux = settle_half_lsb(τ_mux, bits)（复用 E14 同器件 R_on=6.41 Ω · E17 G-2 建立律）。C_s 是固定绝对采样电容（与共享无关），故 t_mux 不随 K 缩小。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340"/>
            <w:shd w:val="clear" w:color="auto" w:fill="FFFFFF"/>
          </w:tcPr>
          <w:p>
            <w:pPr>
              <w:spacing w:before="120" w:after="40"/>
            </w:pPr>
            <w:r>
              <w:rPr>
                <w:rFonts w:ascii="Microsoft YaHei" w:hAnsi="Microsoft YaHei" w:eastAsia="Microsoft YaHei"/>
                <w:b/>
                <w:color w:val="2563EB"/>
                <w:sz w:val="34"/>
              </w:rPr>
              <w:t>6.41 Ω</w:t>
            </w:r>
          </w:p>
          <w:p>
            <w:pPr>
              <w:spacing w:before="0" w:after="120" w:line="312" w:lineRule="auto"/>
            </w:pPr>
            <w:r>
              <w:rPr>
                <w:rFonts w:ascii="Microsoft YaHei" w:hAnsi="Microsoft YaHei" w:eastAsia="Microsoft YaHei"/>
                <w:color w:val="475669"/>
                <w:sz w:val="19"/>
              </w:rPr>
              <w:t>复用 E14 同器件 R_on（W/L=500）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120" w:after="40"/>
            </w:pPr>
            <w:r>
              <w:rPr>
                <w:rFonts w:ascii="Microsoft YaHei" w:hAnsi="Microsoft YaHei" w:eastAsia="Microsoft YaHei"/>
                <w:b/>
                <w:color w:val="2563EB"/>
                <w:sz w:val="34"/>
              </w:rPr>
              <w:t>39.99 ps</w:t>
            </w:r>
          </w:p>
          <w:p>
            <w:pPr>
              <w:spacing w:before="0" w:after="120" w:line="312" w:lineRule="auto"/>
            </w:pPr>
            <w:r>
              <w:rPr>
                <w:rFonts w:ascii="Microsoft YaHei" w:hAnsi="Microsoft YaHei" w:eastAsia="Microsoft YaHei"/>
                <w:color w:val="475669"/>
                <w:sz w:val="19"/>
              </w:rPr>
              <w:t>t_mux（τ=6.41 ps）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120" w:after="40"/>
            </w:pPr>
            <w:r>
              <w:rPr>
                <w:rFonts w:ascii="Microsoft YaHei" w:hAnsi="Microsoft YaHei" w:eastAsia="Microsoft YaHei"/>
                <w:b/>
                <w:color w:val="2563EB"/>
                <w:sz w:val="34"/>
              </w:rPr>
              <w:t>0.0434%</w:t>
            </w:r>
          </w:p>
          <w:p>
            <w:pPr>
              <w:spacing w:before="0" w:after="120" w:line="312" w:lineRule="auto"/>
            </w:pPr>
            <w:r>
              <w:rPr>
                <w:rFonts w:ascii="Microsoft YaHei" w:hAnsi="Microsoft YaHei" w:eastAsia="Microsoft YaHei"/>
                <w:color w:val="475669"/>
                <w:sz w:val="19"/>
              </w:rPr>
              <w:t>plain 共享侵蚀（恒定 · 可忽略）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120" w:after="40"/>
            </w:pPr>
            <w:r>
              <w:rPr>
                <w:rFonts w:ascii="Microsoft YaHei" w:hAnsi="Microsoft YaHei" w:eastAsia="Microsoft YaHei"/>
                <w:b/>
                <w:color w:val="2563EB"/>
                <w:sz w:val="34"/>
              </w:rPr>
              <w:t>6.944%</w:t>
            </w:r>
          </w:p>
          <w:p>
            <w:pPr>
              <w:spacing w:before="0" w:after="120" w:line="312" w:lineRule="auto"/>
            </w:pPr>
            <w:r>
              <w:rPr>
                <w:rFonts w:ascii="Microsoft YaHei" w:hAnsi="Microsoft YaHei" w:eastAsia="Microsoft YaHei"/>
                <w:color w:val="475669"/>
                <w:sz w:val="19"/>
              </w:rPr>
              <w:t>保吞吐共享侵蚀 @ K*=160（∝K）</w:t>
            </w:r>
          </w:p>
        </w:tc>
      </w:tr>
    </w:tbl>
    <w:p>
      <w:pPr>
        <w:spacing w:before="160" w:after="200" w:line="360" w:lineRule="auto"/>
        <w:shd w:val="clear" w:color="auto" w:fill="EFF6FF"/>
        <w:pBdr>
          <w:top w:val="single" w:sz="8" w:space="6" w:color="BFDFFE"/>
          <w:bottom w:val="single" w:sz="8" w:space="6" w:color="BFDFFE"/>
          <w:left w:val="single" w:sz="24" w:space="6" w:color="BFDFFE"/>
          <w:right w:val="single" w:sz="8" w:space="6" w:color="BFDFFE"/>
        </w:pBdr>
      </w:pPr>
      <w:r>
        <w:rPr>
          <w:rFonts w:ascii="Microsoft YaHei" w:hAnsi="Microsoft YaHei" w:eastAsia="Microsoft YaHei"/>
          <w:b/>
          <w:color w:val="1E3A8A"/>
          <w:sz w:val="21"/>
        </w:rPr>
        <w:t>🔴 结论：</w:t>
      </w:r>
      <w:r>
        <w:rPr>
          <w:rFonts w:ascii="Microsoft YaHei" w:hAnsi="Microsoft YaHei" w:eastAsia="Microsoft YaHei"/>
          <w:color w:val="1E3A8A"/>
          <w:sz w:val="21"/>
        </w:rPr>
        <w:t>plain 共享：侵蚀恒定 0.0434%（可忽略）。保吞吐共享：每列周期 T_conv(1)+K·t_mux ⇒ 侵蚀 ∝ K，K*=160 处 ≈ 6.944% —— 这是 E18 静态模型此前漏计的真实动态代价，反相关于 E18 面积收益。</w:t>
      </w:r>
    </w:p>
    <w:p>
      <w:pPr>
        <w:spacing w:before="320" w:after="120"/>
        <w:pBdr>
          <w:bottom w:val="single" w:sz="10" w:space="4" w:color="2563EB"/>
        </w:pBdr>
      </w:pPr>
      <w:r>
        <w:rPr>
          <w:rFonts w:ascii="Microsoft YaHei" w:hAnsi="Microsoft YaHei" w:eastAsia="Microsoft YaHei"/>
          <w:b/>
          <w:color w:val="2563EB"/>
          <w:sz w:val="28"/>
        </w:rPr>
        <w:t>④ 动态预算（接 E15 合成律 · RANDOM · 1σ）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EFF6FF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项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内容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数值</w:t>
            </w:r>
          </w:p>
        </w:tc>
      </w:tr>
      <w:tr>
        <w:tc>
          <w:tcPr>
            <w:tcW w:type="dxa" w:w="1872"/>
          </w:tcPr>
          <w:p>
            <w:pPr>
              <w:spacing w:line="324" w:lineRule="auto"/>
            </w:pPr>
            <w:r>
              <w:rPr>
                <w:rFonts w:ascii="Microsoft YaHei" w:hAnsi="Microsoft YaHei" w:eastAsia="Microsoft YaHei"/>
                <w:color w:val="0F172A"/>
                <w:sz w:val="19"/>
              </w:rPr>
              <w:t>进预算项数</w:t>
            </w:r>
          </w:p>
        </w:tc>
        <w:tc>
          <w:tcPr>
            <w:tcW w:type="dxa" w:w="5760"/>
          </w:tcPr>
          <w:p>
            <w:pPr>
              <w:spacing w:line="324" w:lineRule="auto"/>
            </w:pPr>
            <w:r>
              <w:rPr>
                <w:rFonts w:ascii="Microsoft YaHei" w:hAnsi="Microsoft YaHei" w:eastAsia="Microsoft YaHei"/>
                <w:color w:val="0F172A"/>
                <w:sz w:val="19"/>
              </w:rPr>
              <w:t>电荷注入 Pelgrom 残差 + 孔径抖动（确定性 pedestal / 多路开关建立不入预算）</w:t>
            </w:r>
          </w:p>
        </w:tc>
        <w:tc>
          <w:tcPr>
            <w:tcW w:type="dxa" w:w="1728"/>
          </w:tcPr>
          <w:p>
            <w:pPr>
              <w:spacing w:line="324" w:lineRule="auto"/>
            </w:pPr>
            <w:r>
              <w:rPr>
                <w:rFonts w:ascii="Microsoft YaHei" w:hAnsi="Microsoft YaHei" w:eastAsia="Microsoft YaHei"/>
                <w:color w:val="0F172A"/>
                <w:sz w:val="19"/>
              </w:rPr>
              <w:t>2</w:t>
            </w:r>
          </w:p>
        </w:tc>
      </w:tr>
      <w:tr>
        <w:tc>
          <w:tcPr>
            <w:tcW w:type="dxa" w:w="1872"/>
          </w:tcPr>
          <w:p>
            <w:pPr>
              <w:spacing w:line="324" w:lineRule="auto"/>
            </w:pPr>
            <w:r>
              <w:rPr>
                <w:rFonts w:ascii="Microsoft YaHei" w:hAnsi="Microsoft YaHei" w:eastAsia="Microsoft YaHei"/>
                <w:color w:val="0F172A"/>
                <w:sz w:val="19"/>
              </w:rPr>
              <w:t>worst</w:t>
            </w:r>
          </w:p>
        </w:tc>
        <w:tc>
          <w:tcPr>
            <w:tcW w:type="dxa" w:w="5760"/>
          </w:tcPr>
          <w:p>
            <w:pPr>
              <w:spacing w:line="324" w:lineRule="auto"/>
            </w:pPr>
            <w:r>
              <w:rPr>
                <w:rFonts w:ascii="Microsoft YaHei" w:hAnsi="Microsoft YaHei" w:eastAsia="Microsoft YaHei"/>
                <w:color w:val="0F172A"/>
                <w:sz w:val="19"/>
              </w:rPr>
              <w:t>合成后最坏相对误差</w:t>
            </w:r>
          </w:p>
        </w:tc>
        <w:tc>
          <w:tcPr>
            <w:tcW w:type="dxa" w:w="1728"/>
          </w:tcPr>
          <w:p>
            <w:pPr>
              <w:spacing w:line="324" w:lineRule="auto"/>
            </w:pPr>
            <w:r>
              <w:rPr>
                <w:rFonts w:ascii="Microsoft YaHei" w:hAnsi="Microsoft YaHei" w:eastAsia="Microsoft YaHei"/>
                <w:color w:val="0F172A"/>
                <w:sz w:val="19"/>
              </w:rPr>
              <w:t>0.0946%</w:t>
            </w:r>
          </w:p>
        </w:tc>
      </w:tr>
      <w:tr>
        <w:tc>
          <w:tcPr>
            <w:tcW w:type="dxa" w:w="1872"/>
          </w:tcPr>
          <w:p>
            <w:pPr>
              <w:spacing w:line="324" w:lineRule="auto"/>
            </w:pPr>
            <w:r>
              <w:rPr>
                <w:rFonts w:ascii="Microsoft YaHei" w:hAnsi="Microsoft YaHei" w:eastAsia="Microsoft YaHei"/>
                <w:color w:val="0F172A"/>
                <w:sz w:val="19"/>
              </w:rPr>
              <w:t>≈ 有效位</w:t>
            </w:r>
          </w:p>
        </w:tc>
        <w:tc>
          <w:tcPr>
            <w:tcW w:type="dxa" w:w="5760"/>
          </w:tcPr>
          <w:p>
            <w:pPr>
              <w:spacing w:line="324" w:lineRule="auto"/>
            </w:pPr>
            <w:r>
              <w:rPr>
                <w:rFonts w:ascii="Microsoft YaHei" w:hAnsi="Microsoft YaHei" w:eastAsia="Microsoft YaHei"/>
                <w:color w:val="0F172A"/>
                <w:sz w:val="19"/>
              </w:rPr>
              <w:t>log2(1/worst_rel) 口径</w:t>
            </w:r>
          </w:p>
        </w:tc>
        <w:tc>
          <w:tcPr>
            <w:tcW w:type="dxa" w:w="1728"/>
          </w:tcPr>
          <w:p>
            <w:pPr>
              <w:spacing w:line="324" w:lineRule="auto"/>
            </w:pPr>
            <w:r>
              <w:rPr>
                <w:rFonts w:ascii="Microsoft YaHei" w:hAnsi="Microsoft YaHei" w:eastAsia="Microsoft YaHei"/>
                <w:color w:val="0F172A"/>
                <w:sz w:val="19"/>
              </w:rPr>
              <w:t>10.045 位</w:t>
            </w:r>
          </w:p>
        </w:tc>
      </w:tr>
    </w:tbl>
    <w:p>
      <w:pPr>
        <w:spacing w:before="320" w:after="120"/>
        <w:pBdr>
          <w:bottom w:val="single" w:sz="10" w:space="4" w:color="2563EB"/>
        </w:pBdr>
      </w:pPr>
      <w:r>
        <w:rPr>
          <w:rFonts w:ascii="Microsoft YaHei" w:hAnsi="Microsoft YaHei" w:eastAsia="Microsoft YaHei"/>
          <w:b/>
          <w:color w:val="2563EB"/>
          <w:sz w:val="28"/>
        </w:rPr>
        <w:t>E19 总诚实结论（闭合 G-S）</w:t>
      </w:r>
    </w:p>
    <w:p>
      <w:pPr>
        <w:spacing w:before="160" w:after="200" w:line="360" w:lineRule="auto"/>
        <w:shd w:val="clear" w:color="auto" w:fill="EFF6FF"/>
        <w:pBdr>
          <w:top w:val="single" w:sz="8" w:space="6" w:color="BFDFFE"/>
          <w:bottom w:val="single" w:sz="8" w:space="6" w:color="BFDFFE"/>
          <w:left w:val="single" w:sz="24" w:space="6" w:color="BFDFFE"/>
          <w:right w:val="single" w:sz="8" w:space="6" w:color="BFDFFE"/>
        </w:pBdr>
      </w:pPr>
      <w:r>
        <w:rPr>
          <w:rFonts w:ascii="Microsoft YaHei" w:hAnsi="Microsoft YaHei" w:eastAsia="Microsoft YaHei"/>
          <w:color w:val="1E3A8A"/>
          <w:sz w:val="21"/>
        </w:rPr>
        <w:t>在可达共享度内，三项动态代价都不是精度墙：① 电荷注入确定性 pedestal 虽大但可校准（真成本=校准负担）；② 孔径抖动条件性（高带宽才显著）；③ 多路开关建立在保吞吐共享下随 K 回升、K* 处 ≈7% —— E18 漏计的真实动态代价。</w:t>
        <w:br/>
        <w:t>共享的真实新代价 = 保吞吐开关建立开销 + 高带宽孔径抖动；二者反相关于 E18 静态收益，但都不造新墙（不硬造精度腿 / 不报 TOPS）。E18 主线收口成立。</w:t>
      </w:r>
    </w:p>
    <w:p>
      <w:pPr>
        <w:spacing w:before="360"/>
      </w:pPr>
      <w:r>
        <w:rPr>
          <w:rFonts w:ascii="Microsoft YaHei" w:hAnsi="Microsoft YaHei" w:eastAsia="Microsoft YaHei"/>
          <w:color w:val="475669"/>
          <w:sz w:val="18"/>
        </w:rPr>
        <w:t>LDA · agent-native 开源光+量子芯片设计软件 · 杜玉河 / 工业5点0产业生态联盟 · 本页为只读设计期验证摘要，非流片后实测。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