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600"/>
        <w:jc w:val="center"/>
      </w:pPr>
      <w:r>
        <w:rPr>
          <w:b/>
          <w:bCs/>
          <w:color w:val="1F4E79"/>
          <w:sz w:val="48"/>
          <w:szCs w:val="48"/>
        </w:rPr>
        <w:t xml:space="preserve">LDA 产业共建白皮书</w:t>
      </w:r>
    </w:p>
    <w:p>
      <w:pPr>
        <w:spacing w:before="120"/>
        <w:jc w:val="center"/>
      </w:pPr>
      <w:r>
        <w:rPr>
          <w:color w:val="404040"/>
          <w:sz w:val="26"/>
          <w:szCs w:val="26"/>
        </w:rPr>
        <w:t xml:space="preserve">开源 · Agent 原生的光芯片与量子芯片设计底座</w:t>
      </w:r>
    </w:p>
    <w:p>
      <w:pPr>
        <w:pBdr>
          <w:bottom w:val="single" w:color="2E75B6" w:sz="12" w:space="8"/>
        </w:pBdr>
        <w:spacing w:before="40"/>
        <w:jc w:val="center"/>
      </w:pPr>
      <w:r>
        <w:t xml:space="preserve"/>
      </w:r>
    </w:p>
    <w:p>
      <w:pPr>
        <w:spacing w:before="360"/>
        <w:jc w:val="center"/>
      </w:pPr>
      <w:r>
        <w:rPr>
          <w:color w:val="595959"/>
          <w:sz w:val="22"/>
          <w:szCs w:val="22"/>
        </w:rPr>
        <w:t xml:space="preserve">面向产业界 · 学界 · 投资界的生态共建邀请</w:t>
      </w:r>
    </w:p>
    <w:p>
      <w:pPr>
        <w:spacing w:before="200"/>
        <w:jc w:val="center"/>
      </w:pPr>
      <w:r>
        <w:rPr>
          <w:color w:val="808080"/>
          <w:sz w:val="20"/>
          <w:szCs w:val="20"/>
        </w:rPr>
        <w:t xml:space="preserve">文档编号：LDA-IW-001   |   版本：v1.2（2026-09-21 · 主权版图实证增补）</w:t>
      </w:r>
    </w:p>
    <w:p>
      <w:pPr>
        <w:spacing w:before="40"/>
        <w:jc w:val="center"/>
      </w:pPr>
      <w:r>
        <w:rPr>
          <w:color w:val="808080"/>
          <w:sz w:val="20"/>
          <w:szCs w:val="20"/>
        </w:rPr>
        <w:t xml:space="preserve">编制日期：2026-08-16（v1.2 更新：2026-09-21）   |   密级：对外公开</w:t>
      </w:r>
    </w:p>
    <w:p>
      <w:pPr>
        <w:spacing w:before="40"/>
        <w:jc w:val="center"/>
      </w:pPr>
      <w:r>
        <w:rPr>
          <w:color w:val="808080"/>
          <w:sz w:val="20"/>
          <w:szCs w:val="20"/>
        </w:rPr>
        <w:t xml:space="preserve">编制：LDA 领域研究室（工业5点0产业生态联盟 · 杜玉河）</w:t>
      </w:r>
    </w:p>
    <w:p>
      <w:r>
        <w:br w:type="page"/>
      </w:r>
    </w:p>
    <w:p>
      <w:pPr>
        <w:pStyle w:val="Heading1"/>
        <w:spacing w:after="160"/>
      </w:pPr>
      <w:r>
        <w:rPr>
          <w:b/>
          <w:bCs/>
          <w:color w:val="1F4E79"/>
          <w:sz w:val="30"/>
          <w:szCs w:val="30"/>
        </w:rPr>
        <w:t xml:space="preserve">目录</w:t>
      </w:r>
    </w:p>
    <w:sdt>
      <w:sdtPr>
        <w:alias w:val="toc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140" w:before="280"/>
      </w:pPr>
      <w:r>
        <w:rPr>
          <w:b/>
          <w:bCs/>
          <w:color w:val="1F4E79"/>
          <w:sz w:val="30"/>
          <w:szCs w:val="30"/>
        </w:rPr>
        <w:t xml:space="preserve">0. 执行摘要</w:t>
      </w:r>
    </w:p>
    <w:p>
      <w:pPr>
        <w:spacing w:after="120" w:line="300"/>
        <w:jc w:val="left"/>
      </w:pPr>
      <w:r>
        <w:rPr>
          <w:sz w:val="21"/>
          <w:szCs w:val="21"/>
        </w:rPr>
        <w:t xml:space="preserve">光芯片（PDA）与量子芯片（QEDA）是未来十年最具战略价值的两条硬科技赛道，但它们的设计工具——EDA——长期被美系商业巨头垄断，且巨头出于自身商业模式，结构性地不会去做“开放内核”。</w:t>
      </w:r>
    </w:p>
    <w:p>
      <w:pPr>
        <w:spacing w:after="120" w:line="300"/>
        <w:jc w:val="left"/>
      </w:pPr>
      <w:r>
        <w:rPr>
          <w:sz w:val="21"/>
          <w:szCs w:val="21"/>
        </w:rPr>
        <w:t xml:space="preserve">LDA（Lightwave Design Agent）要做的，不是又一个“帮工程师画图”的工具，而是一个开源、自主可控、由 AI 智能体直接编写底层求解内核的设计底座。我们用一个已被验证的事实说明这不是设想：</w:t>
      </w:r>
    </w:p>
    <w:p>
      <w:pPr>
        <w:pBdr>
          <w:left w:val="single" w:color="2E75B6" w:sz="18" w:space="12"/>
        </w:pBdr>
        <w:spacing w:after="160" w:before="80" w:line="320"/>
      </w:pPr>
      <w:r>
        <w:rPr>
          <w:i/>
          <w:iCs/>
          <w:color w:val="404040"/>
          <w:sz w:val="22"/>
          <w:szCs w:val="22"/>
        </w:rPr>
        <w:t xml:space="preserve">LDA 的 AI 智能体已经自己写出了 1D / 2D / 3D 电磁场求解器（FDTD），并在“物理定律”这一不可辩驳的真值锚上，逐题通过了 5/5 验证。这意味着——“AI 造设计内核”这条路，已经从论文设想，变成了跑通的代码。</w:t>
      </w:r>
    </w:p>
    <w:p>
      <w:pPr>
        <w:spacing w:after="120" w:line="300"/>
        <w:jc w:val="left"/>
      </w:pPr>
      <w:r>
        <w:rPr>
          <w:sz w:val="21"/>
          <w:szCs w:val="21"/>
        </w:rPr>
        <w:t xml:space="preserve">本白皮书面向产业界、学界与投资界伙伴，说明：我们要解决什么问题、我们已经证明了什么、我们邀请各方以何种方式共建、以及我们需要的关键资源。</w:t>
      </w:r>
    </w:p>
    <w:p>
      <w:pPr>
        <w:pStyle w:val="Heading1"/>
        <w:spacing w:after="140" w:before="280"/>
      </w:pPr>
      <w:r>
        <w:rPr>
          <w:b/>
          <w:bCs/>
          <w:color w:val="1F4E79"/>
          <w:sz w:val="30"/>
          <w:szCs w:val="30"/>
        </w:rPr>
        <w:t xml:space="preserve">1. 我们为什么做这件事</w:t>
      </w:r>
    </w:p>
    <w:p>
      <w:pPr>
        <w:pStyle w:val="Heading2"/>
        <w:spacing w:after="100" w:before="200"/>
      </w:pPr>
      <w:r>
        <w:rPr>
          <w:b/>
          <w:bCs/>
          <w:color w:val="1F4E79"/>
          <w:sz w:val="26"/>
          <w:szCs w:val="26"/>
        </w:rPr>
        <w:t xml:space="preserve">1.1 产业在爆发，工具在断供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sz w:val="21"/>
          <w:szCs w:val="21"/>
        </w:rPr>
        <w:t xml:space="preserve">光子器件产业正被 AI 数据中心拉动高速增长：800G / 1.6T 光互联需求使硅光器件产业 2025 年增速达 37%+；光子 EDA 软件 2025 年约 13 亿美元、年复合增速约 12%。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sz w:val="21"/>
          <w:szCs w:val="21"/>
        </w:rPr>
        <w:t xml:space="preserve">量子芯片进入国产窗口期：国产与海外在 QEDA 上无明显代差，自主可控战略意义极强。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sz w:val="21"/>
          <w:szCs w:val="21"/>
        </w:rPr>
        <w:t xml:space="preserve">但工具被“卡”：2025 年起美系 EDA 巨头（Synopsys / Cadence / Siemens）对华断供风险持续；Synopsys 完成对 Ansys 的收购后，光子仿真旗舰 Lumerical 归入其体系，垄断在加深而非减弱。</w:t>
      </w:r>
    </w:p>
    <w:p>
      <w:pPr>
        <w:pStyle w:val="Heading2"/>
        <w:spacing w:after="100" w:before="200"/>
      </w:pPr>
      <w:r>
        <w:rPr>
          <w:b/>
          <w:bCs/>
          <w:color w:val="1F4E79"/>
          <w:sz w:val="26"/>
          <w:szCs w:val="26"/>
        </w:rPr>
        <w:t xml:space="preserve">1.2 巨头的“结构性盲区”</w:t>
      </w:r>
    </w:p>
    <w:p>
      <w:pPr>
        <w:spacing w:after="120" w:line="300"/>
        <w:jc w:val="left"/>
      </w:pPr>
      <w:r>
        <w:rPr>
          <w:sz w:val="21"/>
          <w:szCs w:val="21"/>
        </w:rPr>
        <w:t xml:space="preserve">巨头（Synopsys / Cadence）的收入根基是可信商业求解器的授权费。一旦由 AI 长出“开放、可验证、免费”的内核，等于击穿自己的收费地基——所以它们只会把 AI 做成商业工具里的“辅助层”，永远不会做开放内核。</w:t>
      </w:r>
    </w:p>
    <w:p>
      <w:pPr>
        <w:pBdr>
          <w:left w:val="single" w:color="2E75B6" w:sz="18" w:space="12"/>
        </w:pBdr>
        <w:spacing w:after="160" w:before="80" w:line="320"/>
      </w:pPr>
      <w:r>
        <w:rPr>
          <w:i/>
          <w:iCs/>
          <w:color w:val="404040"/>
          <w:sz w:val="22"/>
          <w:szCs w:val="22"/>
        </w:rPr>
        <w:t xml:space="preserve">这给 LDA 留下一个真实、且巨头结构性不能进入的生态真空：跨光子 + 量子统一的开放标准层（中间表示 IR + 智能体协议）+ AI 自举求解核。</w:t>
      </w:r>
    </w:p>
    <w:p>
      <w:pPr>
        <w:pStyle w:val="Heading2"/>
        <w:spacing w:after="100" w:before="200"/>
      </w:pPr>
      <w:r>
        <w:rPr>
          <w:b/>
          <w:bCs/>
          <w:color w:val="1F4E79"/>
          <w:sz w:val="26"/>
          <w:szCs w:val="26"/>
        </w:rPr>
        <w:t xml:space="preserve">1.3 现有开源“不够”</w:t>
      </w:r>
    </w:p>
    <w:p>
      <w:pPr>
        <w:spacing w:after="120" w:line="300"/>
        <w:jc w:val="left"/>
      </w:pPr>
      <w:r>
        <w:rPr>
          <w:sz w:val="21"/>
          <w:szCs w:val="21"/>
        </w:rPr>
        <w:t xml:space="preserve">开源的 gdsfactory 已跑通“画版图 / 管 PDK”的布局层——它是我们要站在肩上的基座，但不是护城河。它不占“统一标准层”，更没有“AI 写求解内核”。</w:t>
      </w:r>
    </w:p>
    <w:p>
      <w:pPr>
        <w:pStyle w:val="Heading1"/>
        <w:spacing w:after="140" w:before="280"/>
      </w:pPr>
      <w:r>
        <w:rPr>
          <w:b/>
          <w:bCs/>
          <w:color w:val="1F4E79"/>
          <w:sz w:val="30"/>
          <w:szCs w:val="30"/>
        </w:rPr>
        <w:t xml:space="preserve">2. LDA 是什么：三个定位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4200"/>
        <w:gridCol w:w="2860"/>
      </w:tblGrid>
      <w:tr>
        <w:trPr>
          <w:tblHeader/>
        </w:trPr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60"/>
              <w:jc w:val="left"/>
            </w:pPr>
            <w:r>
              <w:rPr>
                <w:b/>
                <w:bCs/>
                <w:color w:val="1F4E79"/>
                <w:sz w:val="20"/>
                <w:szCs w:val="20"/>
              </w:rPr>
              <w:t xml:space="preserve">维度</w:t>
            </w:r>
          </w:p>
        </w:tc>
        <w:tc>
          <w:tcPr>
            <w:tcW w:type="dxa" w:w="4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60"/>
              <w:jc w:val="left"/>
            </w:pPr>
            <w:r>
              <w:rPr>
                <w:b/>
                <w:bCs/>
                <w:color w:val="1F4E79"/>
                <w:sz w:val="20"/>
                <w:szCs w:val="20"/>
              </w:rPr>
              <w:t xml:space="preserve">LDA 的定位</w:t>
            </w:r>
          </w:p>
        </w:tc>
        <w:tc>
          <w:tcPr>
            <w:tcW w:type="dxa" w:w="2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60"/>
              <w:jc w:val="left"/>
            </w:pPr>
            <w:r>
              <w:rPr>
                <w:b/>
                <w:bCs/>
                <w:color w:val="1F4E79"/>
                <w:sz w:val="20"/>
                <w:szCs w:val="20"/>
              </w:rPr>
              <w:t xml:space="preserve">我们不做的是什么</w:t>
            </w:r>
          </w:p>
        </w:tc>
      </w:tr>
      <w:tr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6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对标对象</w:t>
            </w:r>
          </w:p>
        </w:tc>
        <w:tc>
          <w:tcPr>
            <w:tcW w:type="dxa" w:w="4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6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不做巨头的设计工具竞品</w:t>
            </w:r>
          </w:p>
        </w:tc>
        <w:tc>
          <w:tcPr>
            <w:tcW w:type="dxa" w:w="2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6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不重造商业 EDA</w:t>
            </w:r>
          </w:p>
        </w:tc>
      </w:tr>
      <w:tr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6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技术层次</w:t>
            </w:r>
          </w:p>
        </w:tc>
        <w:tc>
          <w:tcPr>
            <w:tcW w:type="dxa" w:w="4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6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做 gdsfactory 之上的“开放标准与编排内核”</w:t>
            </w:r>
          </w:p>
        </w:tc>
        <w:tc>
          <w:tcPr>
            <w:tcW w:type="dxa" w:w="2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6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不重写布局层（已是成熟开源）</w:t>
            </w:r>
          </w:p>
        </w:tc>
      </w:tr>
      <w:tr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6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核心创新</w:t>
            </w:r>
          </w:p>
        </w:tc>
        <w:tc>
          <w:tcPr>
            <w:tcW w:type="dxa" w:w="4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6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AI 智能体直接编写、并验证底层求解内核</w:t>
            </w:r>
          </w:p>
        </w:tc>
        <w:tc>
          <w:tcPr>
            <w:tcW w:type="dxa" w:w="2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6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不让人“手调参数”，让 agent 出结果</w:t>
            </w:r>
          </w:p>
        </w:tc>
      </w:tr>
    </w:tbl>
    <w:p>
      <w:pPr>
        <w:spacing w:after="120" w:line="300"/>
        <w:jc w:val="left"/>
      </w:pPr>
      <w:r>
        <w:rPr>
          <w:b/>
          <w:bCs/>
          <w:color w:val="1F4E79"/>
          <w:sz w:val="21"/>
          <w:szCs w:val="21"/>
        </w:rPr>
        <w:t xml:space="preserve">一句话：LDA 是光芯片与量子芯片设计领域的“开放标准 + AI 造核”底座——中立、可插拔、能调度所有现存工具，并把研发过程本身也 agent 化。</w:t>
      </w:r>
    </w:p>
    <w:p>
      <w:pPr>
        <w:pStyle w:val="Heading3"/>
        <w:spacing w:after="80" w:before="140"/>
      </w:pPr>
      <w:r>
        <w:rPr>
          <w:b/>
          <w:bCs/>
          <w:color w:val="404040"/>
          <w:sz w:val="23"/>
          <w:szCs w:val="23"/>
        </w:rPr>
        <w:t xml:space="preserve">三大支柱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sz w:val="21"/>
          <w:szCs w:val="21"/>
        </w:rPr>
        <w:t xml:space="preserve">L0 统一中间表示（IR）：同一套机器语言，表达光子器件与量子器件的设计意图，使“电子-光子-量子协同设计”成为可能——巨头没认真做、gdsfactory 没占的真空格。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sz w:val="21"/>
          <w:szCs w:val="21"/>
        </w:rPr>
        <w:t xml:space="preserve">L1 智能体协议层：定义 Interpreter / Designer / Layout / Solver / Verifier 等开放接口，让多个 AI 智能体确定性、可验证地协作。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sz w:val="21"/>
          <w:szCs w:val="21"/>
        </w:rPr>
        <w:t xml:space="preserve">L3 AI 自举求解核：用 AI 写手 +（物理定律 + 实证大数据）裁判的闭环，长出可验证的求解器——这一步我们已经跑通。</w:t>
      </w:r>
    </w:p>
    <w:p>
      <w:pPr>
        <w:pStyle w:val="Heading1"/>
        <w:spacing w:after="140" w:before="280"/>
      </w:pPr>
      <w:r>
        <w:rPr>
          <w:b/>
          <w:bCs/>
          <w:color w:val="1F4E79"/>
          <w:sz w:val="30"/>
          <w:szCs w:val="30"/>
        </w:rPr>
        <w:t xml:space="preserve">3. 我们已证明了什么（核心差异化）</w:t>
      </w:r>
    </w:p>
    <w:p>
      <w:pPr>
        <w:spacing w:after="120" w:line="300"/>
        <w:jc w:val="left"/>
      </w:pPr>
      <w:r>
        <w:rPr>
          <w:sz w:val="21"/>
          <w:szCs w:val="21"/>
        </w:rPr>
        <w:t xml:space="preserve">这一节是 LDA 区别于“又一个 PPT 项目”的关键。所有结论来自真实运行的自研代码与确定性验证脚本。</w:t>
      </w:r>
    </w:p>
    <w:p>
      <w:pPr>
        <w:pStyle w:val="Heading2"/>
        <w:spacing w:after="100" w:before="200"/>
      </w:pPr>
      <w:r>
        <w:rPr>
          <w:b/>
          <w:bCs/>
          <w:color w:val="1F4E79"/>
          <w:sz w:val="26"/>
          <w:szCs w:val="26"/>
        </w:rPr>
        <w:t xml:space="preserve">3.1 已交付：AI 自写的 FDTD 电磁求解核（1D / 2D / 3D）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200"/>
        <w:gridCol w:w="3360"/>
        <w:gridCol w:w="1600"/>
      </w:tblGrid>
      <w:tr>
        <w:trPr>
          <w:tblHeader/>
        </w:trPr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60"/>
              <w:jc w:val="left"/>
            </w:pPr>
            <w:r>
              <w:rPr>
                <w:b/>
                <w:bCs/>
                <w:color w:val="1F4E79"/>
                <w:sz w:val="20"/>
                <w:szCs w:val="20"/>
              </w:rPr>
              <w:t xml:space="preserve">维度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60"/>
              <w:jc w:val="left"/>
            </w:pPr>
            <w:r>
              <w:rPr>
                <w:b/>
                <w:bCs/>
                <w:color w:val="1F4E79"/>
                <w:sz w:val="20"/>
                <w:szCs w:val="20"/>
              </w:rPr>
              <w:t xml:space="preserve">交付物</w:t>
            </w:r>
          </w:p>
        </w:tc>
        <w:tc>
          <w:tcPr>
            <w:tcW w:type="dxa" w:w="3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60"/>
              <w:jc w:val="left"/>
            </w:pPr>
            <w:r>
              <w:rPr>
                <w:b/>
                <w:bCs/>
                <w:color w:val="1F4E79"/>
                <w:sz w:val="20"/>
                <w:szCs w:val="20"/>
              </w:rPr>
              <w:t xml:space="preserve">验证方式（非 AI 真值锚）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60"/>
              <w:jc w:val="left"/>
            </w:pPr>
            <w:r>
              <w:rPr>
                <w:b/>
                <w:bCs/>
                <w:color w:val="1F4E79"/>
                <w:sz w:val="20"/>
                <w:szCs w:val="20"/>
              </w:rPr>
              <w:t xml:space="preserve">结果</w:t>
            </w:r>
          </w:p>
        </w:tc>
      </w:tr>
      <w:tr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6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1D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6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fdtd1d.py（零依赖，AI 自写）</w:t>
            </w:r>
          </w:p>
        </w:tc>
        <w:tc>
          <w:tcPr>
            <w:tcW w:type="dxa" w:w="3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6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传输矩阵解析解（tmm）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6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selfcheck 4/4 PASS</w:t>
            </w:r>
          </w:p>
        </w:tc>
      </w:tr>
      <w:tr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6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2D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6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fdtd2d.py（TEz Yee 网格）</w:t>
            </w:r>
          </w:p>
        </w:tc>
        <w:tc>
          <w:tcPr>
            <w:tcW w:type="dxa" w:w="3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6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解析解退化极限 + 点源柱面波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6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selfcheck 5/5 PASS</w:t>
            </w:r>
          </w:p>
        </w:tc>
      </w:tr>
      <w:tr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6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3D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6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fdtd3d.py（全 Yee 六分量）</w:t>
            </w:r>
          </w:p>
        </w:tc>
        <w:tc>
          <w:tcPr>
            <w:tcW w:type="dxa" w:w="3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6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解析解退化极限 + 点源球面波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6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selfcheck 5/5 PASS</w:t>
            </w:r>
          </w:p>
        </w:tc>
      </w:tr>
    </w:tbl>
    <w:p>
      <w:pPr>
        <w:pBdr>
          <w:left w:val="single" w:color="2E75B6" w:sz="18" w:space="12"/>
        </w:pBdr>
        <w:spacing w:after="160" w:before="80" w:line="320"/>
      </w:pPr>
      <w:r>
        <w:rPr>
          <w:i/>
          <w:iCs/>
          <w:color w:val="404040"/>
          <w:sz w:val="22"/>
          <w:szCs w:val="22"/>
        </w:rPr>
        <w:t xml:space="preserve">1D / 2D / 3D 全维度，透射谱均已无需借任何商业/美系求解器即得——这是“自主可控求解内核”路径第一个可运行、可复核的实证。</w:t>
      </w:r>
    </w:p>
    <w:p>
      <w:pPr>
        <w:pStyle w:val="Heading2"/>
        <w:spacing w:after="100" w:before="200"/>
      </w:pPr>
      <w:r>
        <w:rPr>
          <w:b/>
          <w:bCs/>
          <w:color w:val="1F4E79"/>
          <w:sz w:val="26"/>
          <w:szCs w:val="26"/>
        </w:rPr>
        <w:t xml:space="preserve">3.2 已交付：性能升维（已具备生产级 CPU 性能）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sz w:val="21"/>
          <w:szCs w:val="21"/>
        </w:rPr>
        <w:t xml:space="preserve">Numba-CPU JIT 加速：与纯参考实现逐字节等价，同精度 5/5 通过，约 20× 加速（16 分 19 秒 → 0.8 分）。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sz w:val="21"/>
          <w:szCs w:val="21"/>
        </w:rPr>
        <w:t xml:space="preserve">PyTorch 可切换 GPU/CPU 张量化后端：复用同一套几何构造、算法完全一致、CPU 上 5/5 逐位一致；device='cuda' 一行即切换 GPU——装上 CUDA 轮子即可点亮。</w:t>
      </w:r>
    </w:p>
    <w:p>
      <w:pPr>
        <w:pStyle w:val="Heading2"/>
        <w:spacing w:after="100" w:before="200"/>
      </w:pPr>
      <w:r>
        <w:rPr>
          <w:b/>
          <w:bCs/>
          <w:color w:val="1F4E79"/>
          <w:sz w:val="26"/>
          <w:szCs w:val="26"/>
        </w:rPr>
        <w:t xml:space="preserve">3.3 我们的“不可妥协”：验证底线</w:t>
      </w:r>
    </w:p>
    <w:p>
      <w:pPr>
        <w:spacing w:after="120" w:line="300"/>
        <w:jc w:val="left"/>
      </w:pPr>
      <w:r>
        <w:rPr>
          <w:sz w:val="21"/>
          <w:szCs w:val="21"/>
        </w:rPr>
        <w:t xml:space="preserve">AI 写手 + AI 裁判可以最大化，但裁判最终判定必须落“非 AI 真值锚”——这是数学约束，不是保守：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sz w:val="21"/>
          <w:szCs w:val="21"/>
        </w:rPr>
        <w:t xml:space="preserve">① 物理定律锚：解析解、麦克斯韦方程确定性计算——方程的必然，不是某人的意见。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sz w:val="21"/>
          <w:szCs w:val="21"/>
        </w:rPr>
        <w:t xml:space="preserve">② 实证大数据锚：跨多源真实流片 / 测量语料，众人贡献、越用越厚。</w:t>
      </w:r>
    </w:p>
    <w:p>
      <w:pPr>
        <w:pBdr>
          <w:left w:val="single" w:color="2E75B6" w:sz="18" w:space="12"/>
        </w:pBdr>
        <w:spacing w:after="160" w:before="80" w:line="320"/>
      </w:pPr>
      <w:r>
        <w:rPr>
          <w:i/>
          <w:iCs/>
          <w:color w:val="404040"/>
          <w:sz w:val="22"/>
          <w:szCs w:val="22"/>
        </w:rPr>
        <w:t xml:space="preserve">没有任何外部真值的“纯 AI 互证”，等于两个 AI 互相点头——错了也被确认。此线不可破。这也是 LDA 赢得产业信任的根本。</w:t>
      </w:r>
    </w:p>
    <w:p>
      <w:pPr>
        <w:pStyle w:val="Heading2"/>
        <w:spacing w:after="100" w:before="200"/>
      </w:pPr>
      <w:r>
        <w:rPr>
          <w:b/>
          <w:bCs/>
          <w:color w:val="1F4E79"/>
          <w:sz w:val="26"/>
          <w:szCs w:val="26"/>
        </w:rPr>
        <w:t xml:space="preserve">3.4 已出片版图库：主权全链路 GDSII 实证（走法一，零 gdsfactory）</w:t>
      </w:r>
    </w:p>
    <w:p>
      <w:pPr>
        <w:spacing w:after="120" w:line="300"/>
        <w:jc w:val="left"/>
      </w:pPr>
      <w:r>
        <w:rPr>
          <w:sz w:val="21"/>
          <w:szCs w:val="21"/>
        </w:rPr>
        <w:t xml:space="preserve">除了 AI 自写的求解核，LDA 的“设计 → 版图 → 签核”主权全链路也已实证落地。我们不使用 gdsfactory，而是用自研的 LinkModel（链路建模）→ placement（器件放置）→ routes（布线）→ chip_layout_export（GDSII 导出）主权链，直接产出真实 GDSII，并经主权子集 DRC（设计规则检查）与 LVS（版图-原理图一致性）双闸签核。</w:t>
      </w:r>
    </w:p>
    <w:tbl>
      <w:tblPr>
        <w:tblW w:type="dxa" w:w="9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900"/>
        <w:gridCol w:w="1000"/>
        <w:gridCol w:w="1300"/>
        <w:gridCol w:w="1000"/>
        <w:gridCol w:w="1100"/>
      </w:tblGrid>
      <w:tr>
        <w:trPr>
          <w:tblHeader/>
        </w:trPr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60"/>
              <w:jc w:val="left"/>
            </w:pPr>
            <w:r>
              <w:rPr>
                <w:b/>
                <w:bCs/>
                <w:color w:val="1F4E79"/>
                <w:sz w:val="20"/>
                <w:szCs w:val="20"/>
              </w:rPr>
              <w:t xml:space="preserve">电路</w:t>
            </w:r>
          </w:p>
        </w:tc>
        <w:tc>
          <w:tcPr>
            <w:tcW w:type="dxa" w:w="3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60"/>
              <w:jc w:val="left"/>
            </w:pPr>
            <w:r>
              <w:rPr>
                <w:b/>
                <w:bCs/>
                <w:color w:val="1F4E79"/>
                <w:sz w:val="20"/>
                <w:szCs w:val="20"/>
              </w:rPr>
              <w:t xml:space="preserve">拓扑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60"/>
              <w:jc w:val="left"/>
            </w:pPr>
            <w:r>
              <w:rPr>
                <w:b/>
                <w:bCs/>
                <w:color w:val="1F4E79"/>
                <w:sz w:val="20"/>
                <w:szCs w:val="20"/>
              </w:rPr>
              <w:t xml:space="preserve">组件数</w:t>
            </w:r>
          </w:p>
        </w:tc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60"/>
              <w:jc w:val="left"/>
            </w:pPr>
            <w:r>
              <w:rPr>
                <w:b/>
                <w:bCs/>
                <w:color w:val="1F4E79"/>
                <w:sz w:val="20"/>
                <w:szCs w:val="20"/>
              </w:rPr>
              <w:t xml:space="preserve">GDS 大小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60"/>
              <w:jc w:val="left"/>
            </w:pPr>
            <w:r>
              <w:rPr>
                <w:b/>
                <w:bCs/>
                <w:color w:val="1F4E79"/>
                <w:sz w:val="20"/>
                <w:szCs w:val="20"/>
              </w:rPr>
              <w:t xml:space="preserve">主权 DRC</w:t>
            </w:r>
          </w:p>
        </w:tc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60"/>
              <w:jc w:val="left"/>
            </w:pPr>
            <w:r>
              <w:rPr>
                <w:b/>
                <w:bCs/>
                <w:color w:val="1F4E79"/>
                <w:sz w:val="20"/>
                <w:szCs w:val="20"/>
              </w:rPr>
              <w:t xml:space="preserve">LVS 签核</w:t>
            </w:r>
          </w:p>
        </w:tc>
      </w:tr>
      <w:tr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6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C1</w:t>
            </w:r>
          </w:p>
        </w:tc>
        <w:tc>
          <w:tcPr>
            <w:tcW w:type="dxa" w:w="3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6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2×2 方向耦合器分束器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6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6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3.6 KB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6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PASS</w:t>
            </w:r>
          </w:p>
        </w:tc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6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ACCEPT</w:t>
            </w:r>
          </w:p>
        </w:tc>
      </w:tr>
      <w:tr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6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C2</w:t>
            </w:r>
          </w:p>
        </w:tc>
        <w:tc>
          <w:tcPr>
            <w:tcW w:type="dxa" w:w="3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6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环形谐振器 add-drop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6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6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4.2 KB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6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PASS</w:t>
            </w:r>
          </w:p>
        </w:tc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6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ACCEPT</w:t>
            </w:r>
          </w:p>
        </w:tc>
      </w:tr>
      <w:tr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6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C3</w:t>
            </w:r>
          </w:p>
        </w:tc>
        <w:tc>
          <w:tcPr>
            <w:tcW w:type="dxa" w:w="3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6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方向耦合器 + 环形谐振器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6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6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5.5 KB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6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PASS</w:t>
            </w:r>
          </w:p>
        </w:tc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6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ACCEPT</w:t>
            </w:r>
          </w:p>
        </w:tc>
      </w:tr>
      <w:tr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6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C4</w:t>
            </w:r>
          </w:p>
        </w:tc>
        <w:tc>
          <w:tcPr>
            <w:tcW w:type="dxa" w:w="3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6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MMI 1×2 多模干涉分束器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6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6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5.4 KB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6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PASS</w:t>
            </w:r>
          </w:p>
        </w:tc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6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ACCEPT</w:t>
            </w:r>
          </w:p>
        </w:tc>
      </w:tr>
      <w:tr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6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C5</w:t>
            </w:r>
          </w:p>
        </w:tc>
        <w:tc>
          <w:tcPr>
            <w:tcW w:type="dxa" w:w="3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6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对称 Y 分支 1×2 分束器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6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6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4.2 KB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6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PASS</w:t>
            </w:r>
          </w:p>
        </w:tc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6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ACCEPT</w:t>
            </w:r>
          </w:p>
        </w:tc>
      </w:tr>
      <w:tr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6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C6</w:t>
            </w:r>
          </w:p>
        </w:tc>
        <w:tc>
          <w:tcPr>
            <w:tcW w:type="dxa" w:w="3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6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Mach-Zehnder 干涉仪 2×2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6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6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3.9 KB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6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PASS</w:t>
            </w:r>
          </w:p>
        </w:tc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6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ACCEPT</w:t>
            </w:r>
          </w:p>
        </w:tc>
      </w:tr>
      <w:tr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6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C7</w:t>
            </w:r>
          </w:p>
        </w:tc>
        <w:tc>
          <w:tcPr>
            <w:tcW w:type="dxa" w:w="3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6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Bragg 反射镜透射线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6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6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4.4 KB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6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PASS</w:t>
            </w:r>
          </w:p>
        </w:tc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6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ACCEPT</w:t>
            </w:r>
          </w:p>
        </w:tc>
      </w:tr>
      <w:tr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6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MESH4</w:t>
            </w:r>
          </w:p>
        </w:tc>
        <w:tc>
          <w:tcPr>
            <w:tcW w:type="dxa" w:w="3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6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4×4 MZI 网格光子计算核（Reck 6 单元）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6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14</w:t>
            </w:r>
          </w:p>
        </w:tc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6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12.5 KB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6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PASS</w:t>
            </w:r>
          </w:p>
        </w:tc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6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ACCEPT</w:t>
            </w:r>
          </w:p>
        </w:tc>
      </w:tr>
    </w:tbl>
    <w:p>
      <w:pPr>
        <w:pBdr>
          <w:left w:val="single" w:color="2E75B6" w:sz="18" w:space="12"/>
        </w:pBdr>
        <w:spacing w:after="160" w:before="80" w:line="320"/>
      </w:pPr>
      <w:r>
        <w:rPr>
          <w:i/>
          <w:iCs/>
          <w:color w:val="404040"/>
          <w:sz w:val="22"/>
          <w:szCs w:val="22"/>
        </w:rPr>
        <w:t xml:space="preserve">8 例跨 5 类拓扑（分束器 / 环形 / 干涉仪 / 滤波器反射镜 / 光子计算网格），全部 DRC PASS + LVS ACCEPT —— 主权版图链的可重复性已被坐实，并已接入 run_ci_regression --tag core 门禁：主权链任何改动破坏任一例，CI 当场拦红。</w:t>
      </w:r>
    </w:p>
    <w:p>
      <w:pPr>
        <w:spacing w:after="120" w:line="300"/>
        <w:jc w:val="left"/>
      </w:pPr>
      <w:r>
        <w:rPr>
          <w:i/>
          <w:iCs/>
          <w:color w:val="404040"/>
          <w:sz w:val="21"/>
          <w:szCs w:val="21"/>
        </w:rPr>
        <w:t xml:space="preserve">诚实边界：上述 9 例验证的是版图几何合法性（主权子集 DRC + LVS 拓扑一致），尚不含光学性能表征（插损 IL / 串扰 XT / 自由光谱范围 FSR 等死标量）。它们定位为工具链的“已出片流程跑通证据”与工程货架示例（examples/sovereign_evidence/），是组件化 PDK 的底座，但尚未锚定为可售 GP-* 基元，亦不进入创新超市当货架商品；其中 MESH4（4×4 光子计算核）额外以 Reck 三角分解 6 MZI 单元实现计算核数学层（保真度≈1.0），并实证 mesh 必然的 waveguide crossing 由异层 M1/M2 跨层桥接化解（12 交叉对零未解）。进一步，MESH8（8×8 光子计算核）以 Clements 折叠网格 28 MZI 单元实现计算核数学层（保真度≈1.0，级联损耗 70.2 dB），并实证 N×N 通用 P&amp;R 可扩展性——任意 N 经异层 M1/M2 桥接化解 59 交叉对、32 桥接网、零未解；二者仍属几何合法性证明，不含光学性能表征。光学表征锚定 → 注册 GP-* → 回灌 IM-* 货架，是明确的后续工程路径，而非摆放问题。</w:t>
      </w:r>
    </w:p>
    <w:p>
      <w:pPr>
        <w:pStyle w:val="Heading1"/>
        <w:spacing w:after="140" w:before="280"/>
      </w:pPr>
      <w:r>
        <w:rPr>
          <w:b/>
          <w:bCs/>
          <w:color w:val="1F4E79"/>
          <w:sz w:val="30"/>
          <w:szCs w:val="30"/>
        </w:rPr>
        <w:t xml:space="preserve">4. 架构与护城河</w:t>
      </w:r>
    </w:p>
    <w:p>
      <w:pPr>
        <w:pStyle w:val="Heading2"/>
        <w:spacing w:after="100" w:before="200"/>
      </w:pPr>
      <w:r>
        <w:rPr>
          <w:b/>
          <w:bCs/>
          <w:color w:val="1F4E79"/>
          <w:sz w:val="26"/>
          <w:szCs w:val="26"/>
        </w:rPr>
        <w:t xml:space="preserve">4.1 分层架构（L0–L4）</w:t>
      </w:r>
    </w:p>
    <w:p>
      <w:pPr>
        <w:spacing w:after="120" w:line="300"/>
        <w:jc w:val="left"/>
      </w:pPr>
      <w:r>
        <w:rPr>
          <w:sz w:val="21"/>
          <w:szCs w:val="21"/>
        </w:rPr>
        <w:t xml:space="preserve">L4 应用与生态（用户层 / 开源社区 / 认证商业版）</w:t>
      </w:r>
    </w:p>
    <w:p>
      <w:pPr>
        <w:spacing w:after="120" w:line="300"/>
        <w:jc w:val="left"/>
      </w:pPr>
      <w:r>
        <w:rPr>
          <w:sz w:val="21"/>
          <w:szCs w:val="21"/>
        </w:rPr>
        <w:t xml:space="preserve">L3 求解器后端（FDTD/FEM/EME/量子哈密顿 ← AI 自举生成 / 插件调度）</w:t>
      </w:r>
    </w:p>
    <w:p>
      <w:pPr>
        <w:spacing w:after="120" w:line="300"/>
        <w:jc w:val="left"/>
      </w:pPr>
      <w:r>
        <w:rPr>
          <w:sz w:val="21"/>
          <w:szCs w:val="21"/>
        </w:rPr>
        <w:t xml:space="preserve">L2 开放 PDK / 器件本体 Registry（社区 + 晶圆厂共建）</w:t>
      </w:r>
    </w:p>
    <w:p>
      <w:pPr>
        <w:spacing w:after="120" w:line="300"/>
        <w:jc w:val="left"/>
      </w:pPr>
      <w:r>
        <w:rPr>
          <w:sz w:val="21"/>
          <w:szCs w:val="21"/>
        </w:rPr>
        <w:t xml:space="preserve">L1 智能体协议层（Interpreter/Designer/Layout/Solver/Verifier 开放接口）</w:t>
      </w:r>
    </w:p>
    <w:p>
      <w:pPr>
        <w:spacing w:after="120" w:line="300"/>
        <w:jc w:val="left"/>
      </w:pPr>
      <w:r>
        <w:rPr>
          <w:b/>
          <w:bCs/>
          <w:color w:val="1F4E79"/>
          <w:sz w:val="21"/>
          <w:szCs w:val="21"/>
        </w:rPr>
        <w:t xml:space="preserve">L0 开放统一 IR/DSL（光子 + 量子统一中间表示）</w:t>
      </w:r>
    </w:p>
    <w:p>
      <w:pPr>
        <w:spacing w:after="120" w:line="300"/>
        <w:jc w:val="left"/>
      </w:pPr>
      <w:r>
        <w:rPr>
          <w:sz w:val="21"/>
          <w:szCs w:val="21"/>
        </w:rPr>
        <w:t xml:space="preserve">护城河 = 标准 + 生态 + PDK 供给，而非某一段求解器代码。巨头与现有开源都没有占这一层。</w:t>
      </w:r>
    </w:p>
    <w:p>
      <w:pPr>
        <w:pStyle w:val="Heading2"/>
        <w:spacing w:after="100" w:before="200"/>
      </w:pPr>
      <w:r>
        <w:rPr>
          <w:b/>
          <w:bCs/>
          <w:color w:val="1F4E79"/>
          <w:sz w:val="26"/>
          <w:szCs w:val="26"/>
        </w:rPr>
        <w:t xml:space="preserve">4.2 自主可控（主权）策略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00"/>
        <w:gridCol w:w="4760"/>
      </w:tblGrid>
      <w:tr>
        <w:trPr>
          <w:tblHeader/>
        </w:trP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60"/>
              <w:jc w:val="left"/>
            </w:pPr>
            <w:r>
              <w:rPr>
                <w:b/>
                <w:bCs/>
                <w:color w:val="1F4E79"/>
                <w:sz w:val="20"/>
                <w:szCs w:val="20"/>
              </w:rPr>
              <w:t xml:space="preserve">级别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60"/>
              <w:jc w:val="left"/>
            </w:pPr>
            <w:r>
              <w:rPr>
                <w:b/>
                <w:bCs/>
                <w:color w:val="1F4E79"/>
                <w:sz w:val="20"/>
                <w:szCs w:val="20"/>
              </w:rPr>
              <w:t xml:space="preserve">含义</w:t>
            </w:r>
          </w:p>
        </w:tc>
        <w:tc>
          <w:tcPr>
            <w:tcW w:type="dxa" w:w="4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60"/>
              <w:jc w:val="left"/>
            </w:pPr>
            <w:r>
              <w:rPr>
                <w:b/>
                <w:bCs/>
                <w:color w:val="1F4E79"/>
                <w:sz w:val="20"/>
                <w:szCs w:val="20"/>
              </w:rPr>
              <w:t xml:space="preserve">实例与处置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6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永久自主（C 级）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6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第一天就自己掌握</w:t>
            </w:r>
          </w:p>
        </w:tc>
        <w:tc>
          <w:tcPr>
            <w:tcW w:type="dxa" w:w="4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6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L0 IR / L1 协议 / L3 AI 求解核 / 物理定律锚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6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主权化复用（B 级）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6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fork + 镜像冷备，离线可构建</w:t>
            </w:r>
          </w:p>
        </w:tc>
        <w:tc>
          <w:tcPr>
            <w:tcW w:type="dxa" w:w="4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6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gdsfactory、Meep、KLayout、SAX 等开源组件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6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绝不依赖（A 级）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6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直接不采用</w:t>
            </w:r>
          </w:p>
        </w:tc>
        <w:tc>
          <w:tcPr>
            <w:tcW w:type="dxa" w:w="4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6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美系商业求解器（Lumerical / Ansys / Synopsys / Cadence）</w:t>
            </w:r>
          </w:p>
        </w:tc>
      </w:tr>
    </w:tbl>
    <w:p>
      <w:pPr>
        <w:spacing w:after="120" w:line="300"/>
        <w:jc w:val="left"/>
      </w:pPr>
      <w:r>
        <w:rPr>
          <w:sz w:val="21"/>
          <w:szCs w:val="21"/>
        </w:rPr>
        <w:t xml:space="preserve">GPL 红线：GPL 组件仅作外部进程调用，绝不污染核心代码的许可。</w:t>
      </w:r>
    </w:p>
    <w:p>
      <w:pPr>
        <w:pStyle w:val="Heading1"/>
        <w:spacing w:after="140" w:before="280"/>
      </w:pPr>
      <w:r>
        <w:rPr>
          <w:b/>
          <w:bCs/>
          <w:color w:val="1F4E79"/>
          <w:sz w:val="30"/>
          <w:szCs w:val="30"/>
        </w:rPr>
        <w:t xml:space="preserve">5. 生态共建模型：双引擎 + 四大集群</w:t>
      </w:r>
    </w:p>
    <w:p>
      <w:pPr>
        <w:pStyle w:val="Heading2"/>
        <w:spacing w:after="100" w:before="200"/>
      </w:pPr>
      <w:r>
        <w:rPr>
          <w:b/>
          <w:bCs/>
          <w:color w:val="1F4E79"/>
          <w:sz w:val="26"/>
          <w:szCs w:val="26"/>
        </w:rPr>
        <w:t xml:space="preserve">5.1 双引擎人群（LDA 开源生态的人力核心）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600"/>
        <w:gridCol w:w="2100"/>
        <w:gridCol w:w="3160"/>
      </w:tblGrid>
      <w:tr>
        <w:trPr>
          <w:tblHeader/>
        </w:trPr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60"/>
              <w:jc w:val="left"/>
            </w:pPr>
            <w:r>
              <w:rPr>
                <w:b/>
                <w:bCs/>
                <w:color w:val="1F4E79"/>
                <w:sz w:val="20"/>
                <w:szCs w:val="20"/>
              </w:rPr>
              <w:t xml:space="preserve">引擎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60"/>
              <w:jc w:val="left"/>
            </w:pPr>
            <w:r>
              <w:rPr>
                <w:b/>
                <w:bCs/>
                <w:color w:val="1F4E79"/>
                <w:sz w:val="20"/>
                <w:szCs w:val="20"/>
              </w:rPr>
              <w:t xml:space="preserve">人群</w:t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60"/>
              <w:jc w:val="left"/>
            </w:pPr>
            <w:r>
              <w:rPr>
                <w:b/>
                <w:bCs/>
                <w:color w:val="1F4E79"/>
                <w:sz w:val="20"/>
                <w:szCs w:val="20"/>
              </w:rPr>
              <w:t xml:space="preserve">角色</w:t>
            </w:r>
          </w:p>
        </w:tc>
        <w:tc>
          <w:tcPr>
            <w:tcW w:type="dxa" w:w="3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60"/>
              <w:jc w:val="left"/>
            </w:pPr>
            <w:r>
              <w:rPr>
                <w:b/>
                <w:bCs/>
                <w:color w:val="1F4E79"/>
                <w:sz w:val="20"/>
                <w:szCs w:val="20"/>
              </w:rPr>
              <w:t xml:space="preserve">诉求契合点</w:t>
            </w:r>
          </w:p>
        </w:tc>
      </w:tr>
      <w:tr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6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学生引擎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6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光电 / 微电子 / 量子 / 计算方向硕博与本科生</w:t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6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开源贡献生力军</w:t>
            </w:r>
          </w:p>
        </w:tc>
        <w:tc>
          <w:tcPr>
            <w:tcW w:type="dxa" w:w="3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6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把“自然语言 → GDSII”做成毕设 / 科研课题 / 竞赛题</w:t>
            </w:r>
          </w:p>
        </w:tc>
      </w:tr>
      <w:tr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6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退休专家引擎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6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EDA 老炮、光电半导体退休研究员、高校退休博导</w:t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6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顾问 / 导师 / 质量背书</w:t>
            </w:r>
          </w:p>
        </w:tc>
        <w:tc>
          <w:tcPr>
            <w:tcW w:type="dxa" w:w="3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6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有资源、有情怀、有时间，退休再发挥余热</w:t>
            </w:r>
          </w:p>
        </w:tc>
      </w:tr>
    </w:tbl>
    <w:p>
      <w:pPr>
        <w:pStyle w:val="Heading2"/>
        <w:spacing w:after="100" w:before="200"/>
      </w:pPr>
      <w:r>
        <w:rPr>
          <w:b/>
          <w:bCs/>
          <w:color w:val="1F4E79"/>
          <w:sz w:val="26"/>
          <w:szCs w:val="26"/>
        </w:rPr>
        <w:t xml:space="preserve">5.2 四大对接集群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4200"/>
        <w:gridCol w:w="3760"/>
      </w:tblGrid>
      <w:tr>
        <w:trPr>
          <w:tblHeader/>
        </w:trPr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60"/>
              <w:jc w:val="left"/>
            </w:pPr>
            <w:r>
              <w:rPr>
                <w:b/>
                <w:bCs/>
                <w:color w:val="1F4E79"/>
                <w:sz w:val="20"/>
                <w:szCs w:val="20"/>
              </w:rPr>
              <w:t xml:space="preserve">集群</w:t>
            </w:r>
          </w:p>
        </w:tc>
        <w:tc>
          <w:tcPr>
            <w:tcW w:type="dxa" w:w="4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60"/>
              <w:jc w:val="left"/>
            </w:pPr>
            <w:r>
              <w:rPr>
                <w:b/>
                <w:bCs/>
                <w:color w:val="1F4E79"/>
                <w:sz w:val="20"/>
                <w:szCs w:val="20"/>
              </w:rPr>
              <w:t xml:space="preserve">核心机构</w:t>
            </w:r>
          </w:p>
        </w:tc>
        <w:tc>
          <w:tcPr>
            <w:tcW w:type="dxa" w:w="3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60"/>
              <w:jc w:val="left"/>
            </w:pPr>
            <w:r>
              <w:rPr>
                <w:b/>
                <w:bCs/>
                <w:color w:val="1F4E79"/>
                <w:sz w:val="20"/>
                <w:szCs w:val="20"/>
              </w:rPr>
              <w:t xml:space="preserve">主打价值</w:t>
            </w:r>
          </w:p>
        </w:tc>
      </w:tr>
      <w:tr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6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武汉</w:t>
            </w:r>
          </w:p>
        </w:tc>
        <w:tc>
          <w:tcPr>
            <w:tcW w:type="dxa" w:w="4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6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武汉光电国家研究中心 / NOEIC / 华科</w:t>
            </w:r>
          </w:p>
        </w:tc>
        <w:tc>
          <w:tcPr>
            <w:tcW w:type="dxa" w:w="3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6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硅光 PDK + 学生密度全国最高</w:t>
            </w:r>
          </w:p>
        </w:tc>
      </w:tr>
      <w:tr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6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重庆</w:t>
            </w:r>
          </w:p>
        </w:tc>
        <w:tc>
          <w:tcPr>
            <w:tcW w:type="dxa" w:w="4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6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CUMEC（开放硅光工艺平台）</w:t>
            </w:r>
          </w:p>
        </w:tc>
        <w:tc>
          <w:tcPr>
            <w:tcW w:type="dxa" w:w="3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6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开放 PDK 对接</w:t>
            </w:r>
          </w:p>
        </w:tc>
      </w:tr>
      <w:tr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6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上海</w:t>
            </w:r>
          </w:p>
        </w:tc>
        <w:tc>
          <w:tcPr>
            <w:tcW w:type="dxa" w:w="4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6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SITRI / 图灵量子 / 芯和 / 华大九天</w:t>
            </w:r>
          </w:p>
        </w:tc>
        <w:tc>
          <w:tcPr>
            <w:tcW w:type="dxa" w:w="3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6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PDK + 光量子 + EDA 老炮三重富集</w:t>
            </w:r>
          </w:p>
        </w:tc>
      </w:tr>
      <w:tr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6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合肥</w:t>
            </w:r>
          </w:p>
        </w:tc>
        <w:tc>
          <w:tcPr>
            <w:tcW w:type="dxa" w:w="4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6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中科大 / 本源 / 国盾</w:t>
            </w:r>
          </w:p>
        </w:tc>
        <w:tc>
          <w:tcPr>
            <w:tcW w:type="dxa" w:w="3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6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量子最强院校 + 量子企业</w:t>
            </w:r>
          </w:p>
        </w:tc>
      </w:tr>
    </w:tbl>
    <w:p>
      <w:pPr>
        <w:pStyle w:val="Heading2"/>
        <w:spacing w:after="100" w:before="200"/>
      </w:pPr>
      <w:r>
        <w:rPr>
          <w:b/>
          <w:bCs/>
          <w:color w:val="1F4E79"/>
          <w:sz w:val="26"/>
          <w:szCs w:val="26"/>
        </w:rPr>
        <w:t xml:space="preserve">5.3 企业 / 晶圆厂协同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sz w:val="21"/>
          <w:szCs w:val="21"/>
        </w:rPr>
        <w:t xml:space="preserve">硅光代工 PDK：NOEIC / CUMEC / SITRI 等——对接本土工艺，共建“自主可控”牌。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sz w:val="21"/>
          <w:szCs w:val="21"/>
        </w:rPr>
        <w:t xml:space="preserve">光模块 / 光子计算 / 量子芯片企业：中际旭创、新易盛、曦智、图灵量子、本源、国盾等——既是潜在用户，也是退休专家来源与实测语料来源。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sz w:val="21"/>
          <w:szCs w:val="21"/>
        </w:rPr>
        <w:t xml:space="preserve">EDA 企业退休群体：华大九天 / 概伦 / 芯华章等——补足“基准题策展”与“信任墙”两块关键短板。</w:t>
      </w:r>
    </w:p>
    <w:p>
      <w:pPr>
        <w:pStyle w:val="Heading1"/>
        <w:spacing w:after="140" w:before="280"/>
      </w:pPr>
      <w:r>
        <w:rPr>
          <w:b/>
          <w:bCs/>
          <w:color w:val="1F4E79"/>
          <w:sz w:val="30"/>
          <w:szCs w:val="30"/>
        </w:rPr>
        <w:t xml:space="preserve">6. 资源诉求（我们邀请各方共建什么）</w:t>
      </w:r>
    </w:p>
    <w:p>
      <w:pPr>
        <w:spacing w:after="120" w:line="300"/>
        <w:jc w:val="left"/>
      </w:pPr>
      <w:r>
        <w:rPr>
          <w:sz w:val="21"/>
          <w:szCs w:val="21"/>
        </w:rPr>
        <w:t xml:space="preserve">LDA 已用极小成本证明了技术可行性。要把“可用的内核”变成“产业可用的生态”，需要以下关键资源。我们坚持“开发主权 AI 自举、验证与语料开放协作”的原则——不外包核心开发，但诚挚邀请各方在各自可即插即用的资产上共建。</w:t>
      </w:r>
    </w:p>
    <w:p>
      <w:pPr>
        <w:pStyle w:val="Heading2"/>
        <w:spacing w:after="100" w:before="200"/>
      </w:pPr>
      <w:r>
        <w:rPr>
          <w:b/>
          <w:bCs/>
          <w:color w:val="1F4E79"/>
          <w:sz w:val="26"/>
          <w:szCs w:val="26"/>
        </w:rPr>
        <w:t xml:space="preserve">6.1 关键资源清单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3260"/>
        <w:gridCol w:w="2500"/>
        <w:gridCol w:w="1900"/>
      </w:tblGrid>
      <w:tr>
        <w:trPr>
          <w:tblHeader/>
        </w:trPr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60"/>
              <w:jc w:val="left"/>
            </w:pPr>
            <w:r>
              <w:rPr>
                <w:b/>
                <w:bCs/>
                <w:color w:val="1F4E79"/>
                <w:sz w:val="20"/>
                <w:szCs w:val="20"/>
              </w:rPr>
              <w:t xml:space="preserve">资源类别</w:t>
            </w:r>
          </w:p>
        </w:tc>
        <w:tc>
          <w:tcPr>
            <w:tcW w:type="dxa" w:w="32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60"/>
              <w:jc w:val="left"/>
            </w:pPr>
            <w:r>
              <w:rPr>
                <w:b/>
                <w:bCs/>
                <w:color w:val="1F4E79"/>
                <w:sz w:val="20"/>
                <w:szCs w:val="20"/>
              </w:rPr>
              <w:t xml:space="preserve">具体诉求</w:t>
            </w:r>
          </w:p>
        </w:tc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60"/>
              <w:jc w:val="left"/>
            </w:pPr>
            <w:r>
              <w:rPr>
                <w:b/>
                <w:bCs/>
                <w:color w:val="1F4E79"/>
                <w:sz w:val="20"/>
                <w:szCs w:val="20"/>
              </w:rPr>
              <w:t xml:space="preserve">用于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60"/>
              <w:jc w:val="left"/>
            </w:pPr>
            <w:r>
              <w:rPr>
                <w:b/>
                <w:bCs/>
                <w:color w:val="1F4E79"/>
                <w:sz w:val="20"/>
                <w:szCs w:val="20"/>
              </w:rPr>
              <w:t xml:space="preserve">回报方</w:t>
            </w:r>
          </w:p>
        </w:tc>
      </w:tr>
      <w:tr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6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算力</w:t>
            </w:r>
          </w:p>
        </w:tc>
        <w:tc>
          <w:tcPr>
            <w:tcW w:type="dxa" w:w="32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6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自配 GPU 部署机（RTX 50 系 / 数据中心级）</w:t>
            </w:r>
          </w:p>
        </w:tc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6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点亮 3D GPU 求解核、攻生产级超大网格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6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算力提供方（联合研发 / 署名）</w:t>
            </w:r>
          </w:p>
        </w:tc>
      </w:tr>
      <w:tr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6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实测语料</w:t>
            </w:r>
          </w:p>
        </w:tc>
        <w:tc>
          <w:tcPr>
            <w:tcW w:type="dxa" w:w="32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6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真实流片 / 测量数据（S 参数、n_eff、透射谱）</w:t>
            </w:r>
          </w:p>
        </w:tc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6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建“实证大数据锚”，让 AI 裁判可信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6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晶圆厂 / 器件企业 / 高校</w:t>
            </w:r>
          </w:p>
        </w:tc>
      </w:tr>
      <w:tr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6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顾问与背书</w:t>
            </w:r>
          </w:p>
        </w:tc>
        <w:tc>
          <w:tcPr>
            <w:tcW w:type="dxa" w:w="32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6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退休 EDA 老炮、光电 / 量子退休研究员入库</w:t>
            </w:r>
          </w:p>
        </w:tc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6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把关基准题、为开源内核背书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6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顾问委员会成员</w:t>
            </w:r>
          </w:p>
        </w:tc>
      </w:tr>
      <w:tr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6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院校合作</w:t>
            </w:r>
          </w:p>
        </w:tc>
        <w:tc>
          <w:tcPr>
            <w:tcW w:type="dxa" w:w="32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6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毕设 / 竞赛 / 科研课题联合设立</w:t>
            </w:r>
          </w:p>
        </w:tc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6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学生引擎开源贡献冷启动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6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高校实验室</w:t>
            </w:r>
          </w:p>
        </w:tc>
      </w:tr>
      <w:tr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6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晶圆厂 PDK</w:t>
            </w:r>
          </w:p>
        </w:tc>
        <w:tc>
          <w:tcPr>
            <w:tcW w:type="dxa" w:w="32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6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本土硅光 PDK 对接意向</w:t>
            </w:r>
          </w:p>
        </w:tc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6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打通“设计 → 签核 → 流片”闭环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6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PDK 供给方（生态位卡位）</w:t>
            </w:r>
          </w:p>
        </w:tc>
      </w:tr>
      <w:tr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6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资金 / 商业合作</w:t>
            </w:r>
          </w:p>
        </w:tc>
        <w:tc>
          <w:tcPr>
            <w:tcW w:type="dxa" w:w="32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6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认证版研发、垂直场景落地、赛事运营</w:t>
            </w:r>
          </w:p>
        </w:tc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6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阶段 3 商业试点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6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战略投资 / 产业合作方</w:t>
            </w:r>
          </w:p>
        </w:tc>
      </w:tr>
    </w:tbl>
    <w:p>
      <w:pPr>
        <w:pStyle w:val="Heading2"/>
        <w:spacing w:after="100" w:before="200"/>
      </w:pPr>
      <w:r>
        <w:rPr>
          <w:b/>
          <w:bCs/>
          <w:color w:val="1F4E79"/>
          <w:sz w:val="26"/>
          <w:szCs w:val="26"/>
        </w:rPr>
        <w:t xml:space="preserve">6.2 我们能给出什么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sz w:val="21"/>
          <w:szCs w:val="21"/>
        </w:rPr>
        <w:t xml:space="preserve">定义标准的先发卡位：L0/L1 开放标准的共同制定权。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sz w:val="21"/>
          <w:szCs w:val="21"/>
        </w:rPr>
        <w:t xml:space="preserve">可信验证基建：公开对抗性基准 + 反向悬赏，共建行业信任。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sz w:val="21"/>
          <w:szCs w:val="21"/>
        </w:rPr>
        <w:t xml:space="preserve">自主可控底座：对美系断供风险的结构性对冲，对国产替代的直接支撑。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sz w:val="21"/>
          <w:szCs w:val="21"/>
        </w:rPr>
        <w:t xml:space="preserve">成果共享：开源内核免费使用；认证版提供 SLA 与责任兜底（红帽模式）。</w:t>
      </w:r>
    </w:p>
    <w:p>
      <w:pPr>
        <w:pStyle w:val="Heading1"/>
        <w:spacing w:after="140" w:before="280"/>
      </w:pPr>
      <w:r>
        <w:rPr>
          <w:b/>
          <w:bCs/>
          <w:color w:val="1F4E79"/>
          <w:sz w:val="30"/>
          <w:szCs w:val="30"/>
        </w:rPr>
        <w:t xml:space="preserve">7. 路线图与里程碑</w:t>
      </w:r>
    </w:p>
    <w:p>
      <w:pPr>
        <w:spacing w:after="120" w:line="300"/>
        <w:jc w:val="left"/>
      </w:pPr>
      <w:r>
        <w:rPr>
          <w:sz w:val="21"/>
          <w:szCs w:val="21"/>
        </w:rPr>
        <w:t xml:space="preserve">阶段0 战略奠基 ✅  →  阶段1 技术验证（进行中）  →  阶段2 生态启动  →  阶段3 商业试点  →  阶段4 规模扩张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400"/>
        <w:gridCol w:w="5760"/>
      </w:tblGrid>
      <w:tr>
        <w:trPr>
          <w:tblHeader/>
        </w:trPr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60"/>
              <w:jc w:val="left"/>
            </w:pPr>
            <w:r>
              <w:rPr>
                <w:b/>
                <w:bCs/>
                <w:color w:val="1F4E79"/>
                <w:sz w:val="20"/>
                <w:szCs w:val="20"/>
              </w:rPr>
              <w:t xml:space="preserve">阶段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60"/>
              <w:jc w:val="left"/>
            </w:pPr>
            <w:r>
              <w:rPr>
                <w:b/>
                <w:bCs/>
                <w:color w:val="1F4E79"/>
                <w:sz w:val="20"/>
                <w:szCs w:val="20"/>
              </w:rPr>
              <w:t xml:space="preserve">主题</w:t>
            </w:r>
          </w:p>
        </w:tc>
        <w:tc>
          <w:tcPr>
            <w:tcW w:type="dxa" w:w="5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60"/>
              <w:jc w:val="left"/>
            </w:pPr>
            <w:r>
              <w:rPr>
                <w:b/>
                <w:bCs/>
                <w:color w:val="1F4E79"/>
                <w:sz w:val="20"/>
                <w:szCs w:val="20"/>
              </w:rPr>
              <w:t xml:space="preserve">当前状态</w:t>
            </w:r>
          </w:p>
        </w:tc>
      </w:tr>
      <w:tr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6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6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战略奠基</w:t>
            </w:r>
          </w:p>
        </w:tc>
        <w:tc>
          <w:tcPr>
            <w:tcW w:type="dxa" w:w="5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6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✅ 已完成（战略纪要、主权政策、4 份分析文档）</w:t>
            </w:r>
          </w:p>
        </w:tc>
      </w:tr>
      <w:tr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6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6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技术验证</w:t>
            </w:r>
          </w:p>
        </w:tc>
        <w:tc>
          <w:tcPr>
            <w:tcW w:type="dxa" w:w="5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6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🔶 进行中：FDTD 1D/2D/3D + 性能升维已实证</w:t>
            </w:r>
          </w:p>
        </w:tc>
      </w:tr>
      <w:tr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6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6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生态启动</w:t>
            </w:r>
          </w:p>
        </w:tc>
        <w:tc>
          <w:tcPr>
            <w:tcW w:type="dxa" w:w="5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6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⏳ 开源首发 + 基准套件 + 双引擎招募（本白皮书即启动动作之一）</w:t>
            </w:r>
          </w:p>
        </w:tc>
      </w:tr>
      <w:tr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6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6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商业试点</w:t>
            </w:r>
          </w:p>
        </w:tc>
        <w:tc>
          <w:tcPr>
            <w:tcW w:type="dxa" w:w="5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6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⏳ 认证版 + 首个 PDK 合作 + 垂直场景落地</w:t>
            </w:r>
          </w:p>
        </w:tc>
      </w:tr>
      <w:tr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6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6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规模扩张</w:t>
            </w:r>
          </w:p>
        </w:tc>
        <w:tc>
          <w:tcPr>
            <w:tcW w:type="dxa" w:w="5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6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⏳ 跨赛道 / 跨区域复制 + 标准话语权</w:t>
            </w:r>
          </w:p>
        </w:tc>
      </w:tr>
    </w:tbl>
    <w:p>
      <w:pPr>
        <w:spacing w:after="120" w:line="300"/>
        <w:jc w:val="left"/>
      </w:pPr>
      <w:r>
        <w:rPr>
          <w:b/>
          <w:bCs/>
          <w:color w:val="1F4E79"/>
          <w:sz w:val="21"/>
          <w:szCs w:val="21"/>
        </w:rPr>
        <w:t xml:space="preserve">已固化决策：光子优先、量子后上；先单点垂直场景、后统一。</w:t>
      </w:r>
    </w:p>
    <w:p>
      <w:pPr>
        <w:pStyle w:val="Heading1"/>
        <w:spacing w:after="140" w:before="280"/>
      </w:pPr>
      <w:r>
        <w:rPr>
          <w:b/>
          <w:bCs/>
          <w:color w:val="1F4E79"/>
          <w:sz w:val="30"/>
          <w:szCs w:val="30"/>
        </w:rPr>
        <w:t xml:space="preserve">8. 风险与治理</w:t>
      </w:r>
    </w:p>
    <w:p>
      <w:pPr>
        <w:pStyle w:val="ListParagraph"/>
        <w:numPr>
          <w:ilvl w:val="0"/>
          <w:numId w:val="3"/>
        </w:numPr>
        <w:spacing w:after="60" w:line="280"/>
      </w:pPr>
      <w:r>
        <w:rPr>
          <w:sz w:val="21"/>
          <w:szCs w:val="21"/>
        </w:rPr>
        <w:t xml:space="preserve">验证底线不可破：裁判最终判定强制落物理定律 + 大数据锚——这是信任的来源。</w:t>
      </w:r>
    </w:p>
    <w:p>
      <w:pPr>
        <w:pStyle w:val="ListParagraph"/>
        <w:numPr>
          <w:ilvl w:val="0"/>
          <w:numId w:val="3"/>
        </w:numPr>
        <w:spacing w:after="60" w:line="280"/>
      </w:pPr>
      <w:r>
        <w:rPr>
          <w:sz w:val="21"/>
          <w:szCs w:val="21"/>
        </w:rPr>
        <w:t xml:space="preserve">主权红线：A 级永借、B 级主权化、C 级自主；GPL 组件仅外部调用。</w:t>
      </w:r>
    </w:p>
    <w:p>
      <w:pPr>
        <w:pStyle w:val="ListParagraph"/>
        <w:numPr>
          <w:ilvl w:val="0"/>
          <w:numId w:val="3"/>
        </w:numPr>
        <w:spacing w:after="60" w:line="280"/>
      </w:pPr>
      <w:r>
        <w:rPr>
          <w:sz w:val="21"/>
          <w:szCs w:val="21"/>
        </w:rPr>
        <w:t xml:space="preserve">窗口竞速：每个阶段末尾交付“可公开锁定”的资产（标准草案 / 基准 / PDK 意向），用先发筑墙。</w:t>
      </w:r>
    </w:p>
    <w:p>
      <w:pPr>
        <w:pStyle w:val="ListParagraph"/>
        <w:numPr>
          <w:ilvl w:val="0"/>
          <w:numId w:val="3"/>
        </w:numPr>
        <w:spacing w:after="60" w:line="280"/>
      </w:pPr>
      <w:r>
        <w:rPr>
          <w:sz w:val="21"/>
          <w:szCs w:val="21"/>
        </w:rPr>
        <w:t xml:space="preserve">责任归属：开源 AS-IS 免责 + 认证版 SLA，签核责任落在设计师 + 代工 PDK。</w:t>
      </w:r>
    </w:p>
    <w:p>
      <w:pPr>
        <w:pStyle w:val="ListParagraph"/>
        <w:numPr>
          <w:ilvl w:val="0"/>
          <w:numId w:val="3"/>
        </w:numPr>
        <w:spacing w:after="60" w:line="280"/>
      </w:pPr>
      <w:r>
        <w:rPr>
          <w:sz w:val="21"/>
          <w:szCs w:val="21"/>
        </w:rPr>
        <w:t xml:space="preserve">诚实边界：主权核以 float64 运行，在消费级 GPU 上加速比可能不及数据中心卡——我们如实标注，绝不夸大。</w:t>
      </w:r>
    </w:p>
    <w:p>
      <w:pPr>
        <w:pStyle w:val="Heading1"/>
        <w:spacing w:after="140" w:before="280"/>
      </w:pPr>
      <w:r>
        <w:rPr>
          <w:b/>
          <w:bCs/>
          <w:color w:val="1F4E79"/>
          <w:sz w:val="30"/>
          <w:szCs w:val="30"/>
        </w:rPr>
        <w:t xml:space="preserve">9. 如何参与（行动号召）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sz w:val="21"/>
          <w:szCs w:val="21"/>
        </w:rPr>
        <w:t xml:space="preserve">院校 / 学生：认领一个“Good First Issue”，把光子 / 量子设计自动化做成课题。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sz w:val="21"/>
          <w:szCs w:val="21"/>
        </w:rPr>
        <w:t xml:space="preserve">退休专家：加入顾问委员会，把关基准、为自主内核背书——退休再发挥一次余热。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sz w:val="21"/>
          <w:szCs w:val="21"/>
        </w:rPr>
        <w:t xml:space="preserve">晶圆厂 / 器件企业：提供 PDK 或实测语料，共建“实证大数据锚”，锁定生态位。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sz w:val="21"/>
          <w:szCs w:val="21"/>
        </w:rPr>
        <w:t xml:space="preserve">投资 / 产业方：联合点亮 GPU 算力与垂直场景，共享定义标准与自主可控的红利。</w:t>
      </w:r>
    </w:p>
    <w:p>
      <w:pPr>
        <w:pBdr>
          <w:left w:val="single" w:color="2E75B6" w:sz="18" w:space="12"/>
        </w:pBdr>
        <w:spacing w:after="160" w:before="80" w:line="320"/>
      </w:pPr>
      <w:r>
        <w:rPr>
          <w:i/>
          <w:iCs/>
          <w:color w:val="404040"/>
          <w:sz w:val="22"/>
          <w:szCs w:val="22"/>
        </w:rPr>
        <w:t xml:space="preserve">联系：工业5点0产业生态联盟 · 杜玉河（微信号：gongyhlw）</w:t>
      </w:r>
    </w:p>
    <w:p>
      <w:pPr>
        <w:pStyle w:val="Heading1"/>
        <w:spacing w:after="140" w:before="280"/>
      </w:pPr>
      <w:r>
        <w:rPr>
          <w:b/>
          <w:bCs/>
          <w:color w:val="1F4E79"/>
          <w:sz w:val="30"/>
          <w:szCs w:val="30"/>
        </w:rPr>
        <w:t xml:space="preserve">附录 A · v1.1 更新（2026-08-23 · v0.5 系统级里程碑）</w:t>
      </w:r>
    </w:p>
    <w:p>
      <w:pPr>
        <w:spacing w:after="120" w:line="300"/>
        <w:jc w:val="left"/>
      </w:pPr>
      <w:r>
        <w:rPr>
          <w:sz w:val="21"/>
          <w:szCs w:val="21"/>
        </w:rPr>
        <w:t xml:space="preserve">v0.5（git tag v0.5）在 v0.4 真实化之上新增三块能力，形成“设计目标 → 已验证器件/系统/标准/逆设计”完整开源基线：</w:t>
      </w:r>
    </w:p>
    <w:p>
      <w:pPr>
        <w:pStyle w:val="ListParagraph"/>
        <w:numPr>
          <w:ilvl w:val="0"/>
          <w:numId w:val="3"/>
        </w:numPr>
        <w:spacing w:after="60" w:line="280"/>
      </w:pPr>
      <w:r>
        <w:rPr>
          <w:sz w:val="21"/>
          <w:szCs w:val="21"/>
        </w:rPr>
        <w:t xml:space="preserve">系统级（M7 三件）：热光可调 WDM（Δλ/λ=(dn/dT)·R_th·P/n_eff 物理定律锚 + 信道重分配）、量子门/纠错拓扑（门库幺正性 + surface code k=1 + CR 门）、大规模系统基准（8 WDM×8 qubit 联合压测 + 容量自洽 + IL/间隔/网格四边界）。</w:t>
      </w:r>
    </w:p>
    <w:p>
      <w:pPr>
        <w:pStyle w:val="ListParagraph"/>
        <w:numPr>
          <w:ilvl w:val="0"/>
          <w:numId w:val="3"/>
        </w:numPr>
        <w:spacing w:after="60" w:line="280"/>
      </w:pPr>
      <w:r>
        <w:rPr>
          <w:sz w:val="21"/>
          <w:szCs w:val="21"/>
        </w:rPr>
        <w:t xml:space="preserve">护城河两件：L0 IR 开放标准 v0.3 定稿（docs/ir_spec.md + JSON Schema + 零漂移校验——社区共建起点，标准文档即真值）；验证合约工业化（run_ci_regression.py 一键全量回归 27 PASS/0 FAIL + 性能基准 + 基线漂移监控——协作门槛降低）。</w:t>
      </w:r>
    </w:p>
    <w:p>
      <w:pPr>
        <w:pStyle w:val="ListParagraph"/>
        <w:numPr>
          <w:ilvl w:val="0"/>
          <w:numId w:val="3"/>
        </w:numPr>
        <w:spacing w:after="60" w:line="280"/>
      </w:pPr>
      <w:r>
        <w:rPr>
          <w:sz w:val="21"/>
          <w:szCs w:val="21"/>
        </w:rPr>
        <w:t xml:space="preserve">逆设计纵深四阶（Track A）：谱形目标（分束比 0.574 / 3 波长谱形 11.7× / 模式匹配 8.6×）→ 形状逆设计（宽度曲线控制点，可制造性内建 DRC，imp 6.6× + Pareto 多目标）→ 形状+拓扑混合（分层表达，概率 OR 光滑组合，混合 imp 18.3× vs 纯形状 6.0×，增益 3.06×）——逼近商业 EDA adjoint 逆设计核心卖点。</w:t>
      </w:r>
    </w:p>
    <w:p>
      <w:pPr>
        <w:spacing w:after="120" w:line="300"/>
        <w:jc w:val="left"/>
      </w:pPr>
      <w:r>
        <w:rPr>
          <w:sz w:val="21"/>
          <w:szCs w:val="21"/>
        </w:rPr>
        <w:t xml:space="preserve">WebUI 四十三面板，全部交付三端（本地/Gitee/GitHub）tree 级零差异同步。诚实边界：2D TEz 求解为主（3D 端口验收小几何）、系统级链路为解析物理模型、实证大数据锚待发动期数据（D-62 暂缓）、不宣称签核级。</w:t>
      </w:r>
    </w:p>
    <w:p>
      <w:pPr>
        <w:pBdr>
          <w:top w:val="single" w:color="BFBFBF" w:sz="6" w:space="8"/>
        </w:pBdr>
        <w:spacing w:before="200"/>
      </w:pPr>
      <w:r>
        <w:rPr>
          <w:i/>
          <w:iCs/>
          <w:color w:val="808080"/>
          <w:sz w:val="18"/>
          <w:szCs w:val="18"/>
        </w:rPr>
        <w:t xml:space="preserve">本白皮书依据 LDA 前期战略文档包（可行性分析、技术白皮书、市场竞争与赛道分析、发展里程碑与路线图）提炼对外版本，关键技术结论均来自真实运行的自研代码与确定性验证脚本；v1.2 增补第 3.4 节主权全链路 GDSII 已出片版图库。</w:t>
      </w:r>
    </w:p>
    <w:sectPr>
      <w:footerReference w:type="default" r:id="rId7"/>
      <w:pgSz w:w="11906" w:h="16838" w:orient="portrait"/>
      <w:pgMar w:top="1440" w:right="1300" w:bottom="1300" w:left="13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08080"/>
        <w:sz w:val="16"/>
        <w:szCs w:val="16"/>
      </w:rPr>
      <w:t xml:space="preserve">LDA 产业共建白皮书 v1.2 · 工业5点0产业生态联盟  </w:t>
    </w:r>
    <w:r>
      <w:rPr>
        <w:color w:val="8080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280"/>
      <w:outlineLvl w:val="0"/>
    </w:pPr>
    <w:rPr>
      <w:rFonts w:ascii="Microsoft YaHei" w:cs="Microsoft YaHei" w:eastAsia="Microsoft YaHei" w:hAnsi="Microsoft YaHei"/>
      <w:b/>
      <w:bCs/>
      <w:color w:val="1F4E79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Microsoft YaHei" w:cs="Microsoft YaHei" w:eastAsia="Microsoft YaHei" w:hAnsi="Microsoft YaHei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40"/>
      <w:outlineLvl w:val="2"/>
    </w:pPr>
    <w:rPr>
      <w:rFonts w:ascii="Microsoft YaHei" w:cs="Microsoft YaHei" w:eastAsia="Microsoft YaHei" w:hAnsi="Microsoft YaHei"/>
      <w:b/>
      <w:bCs/>
      <w:color w:val="404040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2026-09-21T11:56:44.723Z</dcterms:created>
  <dcterms:modified xsi:type="dcterms:W3CDTF">2026-09-21T11:56:44.723Z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