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4E79"/>
          <w:sz w:val="48"/>
          <w:szCs w:val="48"/>
        </w:rPr>
        <w:t xml:space="preserve">LDA 产业共建白皮书</w:t>
      </w:r>
    </w:p>
    <w:p>
      <w:pPr>
        <w:spacing w:before="120"/>
        <w:jc w:val="center"/>
      </w:pPr>
      <w:r>
        <w:rPr>
          <w:color w:val="404040"/>
          <w:sz w:val="26"/>
          <w:szCs w:val="26"/>
        </w:rPr>
        <w:t xml:space="preserve">开源 · Agent 原生的光芯片与量子芯片设计底座</w:t>
      </w:r>
    </w:p>
    <w:p>
      <w:pPr>
        <w:pBdr>
          <w:bottom w:val="single" w:color="2E75B6" w:sz="12" w:space="8"/>
        </w:pBdr>
        <w:spacing w:before="40"/>
        <w:jc w:val="center"/>
      </w:pPr>
      <w:r>
        <w:t xml:space="preserve"/>
      </w:r>
    </w:p>
    <w:p>
      <w:pPr>
        <w:spacing w:before="360"/>
        <w:jc w:val="center"/>
      </w:pPr>
      <w:r>
        <w:rPr>
          <w:color w:val="595959"/>
          <w:sz w:val="22"/>
          <w:szCs w:val="22"/>
        </w:rPr>
        <w:t xml:space="preserve">面向产业界 · 学界 · 投资界的生态共建邀请</w:t>
      </w:r>
    </w:p>
    <w:p>
      <w:pPr>
        <w:spacing w:before="200"/>
        <w:jc w:val="center"/>
      </w:pPr>
      <w:r>
        <w:rPr>
          <w:color w:val="808080"/>
          <w:sz w:val="20"/>
          <w:szCs w:val="20"/>
        </w:rPr>
        <w:t xml:space="preserve">文档编号：LDA-IW-001   |   版本：v1.2（2026-09-21 · 主权版图实证增补）</w:t>
      </w:r>
    </w:p>
    <w:p>
      <w:pPr>
        <w:spacing w:before="40"/>
        <w:jc w:val="center"/>
      </w:pPr>
      <w:r>
        <w:rPr>
          <w:color w:val="808080"/>
          <w:sz w:val="20"/>
          <w:szCs w:val="20"/>
        </w:rPr>
        <w:t xml:space="preserve">编制日期：2026-08-16（v1.2 更新：2026-09-21）   |   密级：对外公开</w:t>
      </w:r>
    </w:p>
    <w:p>
      <w:pPr>
        <w:spacing w:before="40"/>
        <w:jc w:val="center"/>
      </w:pPr>
      <w:r>
        <w:rPr>
          <w:color w:val="808080"/>
          <w:sz w:val="20"/>
          <w:szCs w:val="20"/>
        </w:rPr>
        <w:t xml:space="preserve">编制：LDA 领域研究室（工业5点0产业生态联盟 · 杜玉河）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0. 执行摘要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光芯片（PDA）与量子芯片（QEDA）是未来十年最具战略价值的两条硬科技赛道，但它们的设计工具——EDA——长期被美系商业巨头垄断，且巨头出于自身商业模式，结构性地不会去做“开放内核”。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LDA（Lightwave Design Agent）要做的，不是又一个“帮工程师画图”的工具，而是一个开源、自主可控、由 AI 智能体直接编写底层求解内核的设计底座。我们用一个已被验证的事实说明这不是设想：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LDA 的 AI 智能体已经自己写出了 1D / 2D / 3D 电磁场求解器（FDTD），并在“物理定律”这一不可辩驳的真值锚上，逐题通过了 5/5 验证。这意味着——“AI 造设计内核”这条路，已经从论文设想，变成了跑通的代码。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本白皮书面向产业界、学界与投资界伙伴，说明：我们要解决什么问题、我们已经证明了什么、我们邀请各方以何种方式共建、以及我们需要的关键资源。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我们为什么做这件事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1.1 产业在爆发，工具在断供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光子器件产业正被 AI 数据中心拉动高速增长：800G / 1.6T 光互联需求使硅光器件产业 2025 年增速达 37%+；光子 EDA 软件 2025 年约 13 亿美元、年复合增速约 12%。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量子芯片进入国产窗口期：国产与海外在 QEDA 上无明显代差，自主可控战略意义极强。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但工具被“卡”：2025 年起美系 EDA 巨头（Synopsys / Cadence / Siemens）对华断供风险持续；Synopsys 完成对 Ansys 的收购后，光子仿真旗舰 Lumerical 归入其体系，垄断在加深而非减弱。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1.2 巨头的“结构性盲区”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巨头（Synopsys / Cadence）的收入根基是可信商业求解器的授权费。一旦由 AI 长出“开放、可验证、免费”的内核，等于击穿自己的收费地基——所以它们只会把 AI 做成商业工具里的“辅助层”，永远不会做开放内核。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这给 LDA 留下一个真实、且巨头结构性不能进入的生态真空：跨光子 + 量子统一的开放标准层（中间表示 IR + 智能体协议）+ AI 自举求解核。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1.3 现有开源“不够”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开源的 gdsfactory 已跑通“画版图 / 管 PDK”的布局层——它是我们要站在肩上的基座，但不是护城河。它不占“统一标准层”，更没有“AI 写求解内核”。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LDA 是什么：三个定位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LDA 的定位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我们不做的是什么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对标对象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不做巨头的设计工具竞品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不重造商业 EDA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技术层次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做 gdsfactory 之上的“开放标准与编排内核”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不重写布局层（已是成熟开源）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智能体直接编写、并验证底层求解内核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不让人“手调参数”，让 agent 出结果</w:t>
            </w:r>
          </w:p>
        </w:tc>
      </w:tr>
    </w:tbl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一句话：LDA 是光芯片与量子芯片设计领域的“开放标准 + AI 造核”底座——中立、可插拔、能调度所有现存工具，并把研发过程本身也 agent 化。</w:t>
      </w:r>
    </w:p>
    <w:p>
      <w:pPr>
        <w:pStyle w:val="Heading3"/>
        <w:spacing w:after="80" w:before="140"/>
      </w:pPr>
      <w:r>
        <w:rPr>
          <w:b/>
          <w:bCs/>
          <w:color w:val="404040"/>
          <w:sz w:val="23"/>
          <w:szCs w:val="23"/>
        </w:rPr>
        <w:t xml:space="preserve">三大支柱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L0 统一中间表示（IR）：同一套机器语言，表达光子器件与量子器件的设计意图，使“电子-光子-量子协同设计”成为可能——巨头没认真做、gdsfactory 没占的真空格。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L1 智能体协议层：定义 Interpreter / Designer / Layout / Solver / Verifier 等开放接口，让多个 AI 智能体确定性、可验证地协作。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L3 AI 自举求解核：用 AI 写手 +（物理定律 + 实证大数据）裁判的闭环，长出可验证的求解器——这一步我们已经跑通。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我们已证明了什么（核心差异化）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这一节是 LDA 区别于“又一个 PPT 项目”的关键。所有结论来自真实运行的自研代码与确定性验证脚本。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3.1 已交付：AI 自写的 FDTD 电磁求解核（1D / 2D / 3D）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交付物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验证方式（非 AI 真值锚）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fdtd1d.py（零依赖，AI 自写）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传输矩阵解析解（tmm）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4/4 PASS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fdtd2d.py（TEz Yee 网格）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解析解退化极限 + 点源柱面波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5/5 PASS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fdtd3d.py（全 Yee 六分量）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解析解退化极限 + 点源球面波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selfcheck 5/5 PASS</w:t>
            </w:r>
          </w:p>
        </w:tc>
      </w:tr>
    </w:tbl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1D / 2D / 3D 全维度，透射谱均已无需借任何商业/美系求解器即得——这是“自主可控求解内核”路径第一个可运行、可复核的实证。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3.2 已交付：性能升维（已具备生产级 CPU 性能）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Numba-CPU JIT 加速：与纯参考实现逐字节等价，同精度 5/5 通过，约 20× 加速（16 分 19 秒 → 0.8 分）。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PyTorch 可切换 GPU/CPU 张量化后端：复用同一套几何构造、算法完全一致、CPU 上 5/5 逐位一致；device='cuda' 一行即切换 GPU——装上 CUDA 轮子即可点亮。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3.3 我们的“不可妥协”：验证底线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AI 写手 + AI 裁判可以最大化，但裁判最终判定必须落“非 AI 真值锚”——这是数学约束，不是保守：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① 物理定律锚：解析解、麦克斯韦方程确定性计算——方程的必然，不是某人的意见。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② 实证大数据锚：跨多源真实流片 / 测量语料，众人贡献、越用越厚。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没有任何外部真值的“纯 AI 互证”，等于两个 AI 互相点头——错了也被确认。此线不可破。这也是 LDA 赢得产业信任的根本。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3.4 已出片版图库：主权全链路 GDSII 实证（走法一，零 gdsfactory）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除了 AI 自写的求解核，LDA 的“设计 → 版图 → 签核”主权全链路也已实证落地。我们不使用 gdsfactory，而是用自研的 LinkModel（链路建模）→ placement（器件放置）→ routes（布线）→ chip_layout_export（GDSII 导出）主权链，直接产出真实 GDSII，并经主权子集 DRC（设计规则检查）与 LVS（版图-原理图一致性）双闸签核。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1000"/>
        <w:gridCol w:w="1300"/>
        <w:gridCol w:w="100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电路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拓扑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组件数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GDS 大小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主权 DRC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LVS 签核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2×2 方向耦合器分束器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环形谐振器 add-drop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方向耦合器 + 环形谐振器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MMI 1×2 多模干涉分束器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对称 Y 分支 1×2 分束器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Mach-Zehnder 干涉仪 2×2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Bragg 反射镜透射线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 KB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</w:tr>
    </w:tbl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7 例跨 4 类拓扑（分束器 / 环形 / 干涉仪 / 滤波器反射镜），全部 DRC PASS + LVS ACCEPT —— 主权版图链的可重复性已被坐实，并已接入 run_ci_regression --tag core 门禁：主权链任何改动破坏任一例，CI 当场拦红。</w:t>
      </w:r>
    </w:p>
    <w:p>
      <w:pPr>
        <w:spacing w:after="120" w:line="300"/>
        <w:jc w:val="left"/>
      </w:pPr>
      <w:r>
        <w:rPr>
          <w:i/>
          <w:iCs/>
          <w:color w:val="404040"/>
          <w:sz w:val="21"/>
          <w:szCs w:val="21"/>
        </w:rPr>
        <w:t xml:space="preserve">诚实边界：上述 7 例验证的是版图几何合法性（主权子集 DRC + LVS 拓扑一致），尚不含光学性能表征（插损 IL / 串扰 XT / 自由光谱范围 FSR 等死标量）。它们定位为工具链的“已出片流程跑通证据”与工程货架示例（examples/sovereign_evidence/），是组件化 PDK 的底座，但尚未锚定为可售 GP-* 基元，亦不进入创新超市当货架商品。光学表征锚定 → 注册 GP-* → 回灌 IM-* 货架，是明确的后续工程路径，而非摆放问题。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架构与护城河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4.1 分层架构（L0–L4）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L4 应用与生态（用户层 / 开源社区 / 认证商业版）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L3 求解器后端（FDTD/FEM/EME/量子哈密顿 ← AI 自举生成 / 插件调度）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L2 开放 PDK / 器件本体 Registry（社区 + 晶圆厂共建）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L1 智能体协议层（Interpreter/Designer/Layout/Solver/Verifier 开放接口）</w:t>
      </w:r>
    </w:p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L0 开放统一 IR/DSL（光子 + 量子统一中间表示）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护城河 = 标准 + 生态 + PDK 供给，而非某一段求解器代码。巨头与现有开源都没有占这一层。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4.2 自主可控（主权）策略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实例与处置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永久自主（C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第一天就自己掌握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L0 IR / L1 协议 / L3 AI 求解核 / 物理定律锚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主权化复用（B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fork + 镜像冷备，离线可构建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gdsfactory、Meep、KLayout、SAX 等开源组件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绝不依赖（A 级）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直接不采用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美系商业求解器（Lumerical / Ansys / Synopsys / Cadence）</w:t>
            </w:r>
          </w:p>
        </w:tc>
      </w:tr>
    </w:tbl>
    <w:p>
      <w:pPr>
        <w:spacing w:after="120" w:line="300"/>
        <w:jc w:val="left"/>
      </w:pPr>
      <w:r>
        <w:rPr>
          <w:sz w:val="21"/>
          <w:szCs w:val="21"/>
        </w:rPr>
        <w:t xml:space="preserve">GPL 红线：GPL 组件仅作外部进程调用，绝不污染核心代码的许可。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生态共建模型：双引擎 + 四大集群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5.1 双引擎人群（LDA 开源生态的人力核心）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人群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诉求契合点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学生引擎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光电 / 微电子 / 量子 / 计算方向硕博与本科生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开源贡献生力军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把“自然语言 → GDSII”做成毕设 / 科研课题 / 竞赛题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退休专家引擎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 老炮、光电半导体退休研究员、高校退休博导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 / 导师 / 质量背书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有资源、有情怀、有时间，退休再发挥余热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5.2 四大对接集群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集群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核心机构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主打价值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武汉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武汉光电国家研究中心 / NOEIC / 华科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硅光 PDK + 学生密度全国最高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CUMEC（开放硅光工艺平台）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开放 PDK 对接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上海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SITRI / 图灵量子 / 芯和 / 华大九天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PDK + 光量子 + EDA 老炮三重富集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合肥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中科大 / 本源 / 国盾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量子最强院校 + 量子企业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5.3 企业 / 晶圆厂协同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硅光代工 PDK：NOEIC / CUMEC / SITRI 等——对接本土工艺，共建“自主可控”牌。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光模块 / 光子计算 / 量子芯片企业：中际旭创、新易盛、曦智、图灵量子、本源、国盾等——既是潜在用户，也是退休专家来源与实测语料来源。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EDA 企业退休群体：华大九天 / 概伦 / 芯华章等——补足“基准题策展”与“信任墙”两块关键短板。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资源诉求（我们邀请各方共建什么）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LDA 已用极小成本证明了技术可行性。要把“可用的内核”变成“产业可用的生态”，需要以下关键资源。我们坚持“开发主权 AI 自举、验证与语料开放协作”的原则——不外包核心开发，但诚挚邀请各方在各自可即插即用的资产上共建。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6.1 关键资源清单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25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资源类别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具体诉求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用于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回报方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算力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自配 GPU 部署机（RTX 50 系 / 数据中心级）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点亮 3D GPU 求解核、攻生产级超大网格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算力提供方（联合研发 / 署名）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实测语料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真实流片 / 测量数据（S 参数、n_eff、透射谱）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建“实证大数据锚”，让 AI 裁判可信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晶圆厂 / 器件企业 / 高校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顾问与背书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退休 EDA 老炮、光电 / 量子退休研究员入库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把关基准题、为开源内核背书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顾问委员会成员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院校合作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毕设 / 竞赛 / 科研课题联合设立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学生引擎开源贡献冷启动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高校实验室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晶圆厂 PDK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本土硅光 PDK 对接意向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打通“设计 → 签核 → 流片”闭环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PDK 供给方（生态位卡位）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资金 / 商业合作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认证版研发、垂直场景落地、赛事运营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3 商业试点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战略投资 / 产业合作方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6.2 我们能给出什么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定义标准的先发卡位：L0/L1 开放标准的共同制定权。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可信验证基建：公开对抗性基准 + 反向悬赏，共建行业信任。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自主可控底座：对美系断供风险的结构性对冲，对国产替代的直接支撑。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成果共享：开源内核免费使用；认证版提供 SLA 与责任兜底（红帽模式）。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路线图与里程碑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阶段0 战略奠基 ✅  →  阶段1 技术验证（进行中）  →  阶段2 生态启动  →  阶段3 商业试点  →  阶段4 规模扩张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主题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战略奠基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已完成（战略纪要、主权政策、4 份分析文档）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技术验证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🔶 进行中：FDTD 1D/2D/3D + 性能升维已实证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生态启动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开源首发 + 基准套件 + 双引擎招募（本白皮书即启动动作之一）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商业试点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认证版 + 首个 PDK 合作 + 垂直场景落地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规模扩张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跨赛道 / 跨区域复制 + 标准话语权</w:t>
            </w:r>
          </w:p>
        </w:tc>
      </w:tr>
    </w:tbl>
    <w:p>
      <w:pPr>
        <w:spacing w:after="120" w:line="300"/>
        <w:jc w:val="left"/>
      </w:pPr>
      <w:r>
        <w:rPr>
          <w:b/>
          <w:bCs/>
          <w:color w:val="1F4E79"/>
          <w:sz w:val="21"/>
          <w:szCs w:val="21"/>
        </w:rPr>
        <w:t xml:space="preserve">已固化决策：光子优先、量子后上；先单点垂直场景、后统一。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8. 风险与治理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验证底线不可破：裁判最终判定强制落物理定律 + 大数据锚——这是信任的来源。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主权红线：A 级永借、B 级主权化、C 级自主；GPL 组件仅外部调用。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窗口竞速：每个阶段末尾交付“可公开锁定”的资产（标准草案 / 基准 / PDK 意向），用先发筑墙。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责任归属：开源 AS-IS 免责 + 认证版 SLA，签核责任落在设计师 + 代工 PDK。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诚实边界：主权核以 float64 运行，在消费级 GPU 上加速比可能不及数据中心卡——我们如实标注，绝不夸大。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9. 如何参与（行动号召）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院校 / 学生：认领一个“Good First Issue”，把光子 / 量子设计自动化做成课题。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退休专家：加入顾问委员会，把关基准、为自主内核背书——退休再发挥一次余热。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晶圆厂 / 器件企业：提供 PDK 或实测语料，共建“实证大数据锚”，锁定生态位。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投资 / 产业方：联合点亮 GPU 算力与垂直场景，共享定义标准与自主可控的红利。</w:t>
      </w:r>
    </w:p>
    <w:p>
      <w:pPr>
        <w:pBdr>
          <w:left w:val="single" w:color="2E75B6" w:sz="18" w:space="12"/>
        </w:pBdr>
        <w:spacing w:after="160" w:before="80" w:line="320"/>
      </w:pPr>
      <w:r>
        <w:rPr>
          <w:i/>
          <w:iCs/>
          <w:color w:val="404040"/>
          <w:sz w:val="22"/>
          <w:szCs w:val="22"/>
        </w:rPr>
        <w:t xml:space="preserve">联系：工业5点0产业生态联盟 · 杜玉河（微信号：gongyhlw）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附录 A · v1.1 更新（2026-08-23 · v0.5 系统级里程碑）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v0.5（git tag v0.5）在 v0.4 真实化之上新增三块能力，形成“设计目标 → 已验证器件/系统/标准/逆设计”完整开源基线：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系统级（M7 三件）：热光可调 WDM（Δλ/λ=(dn/dT)·R_th·P/n_eff 物理定律锚 + 信道重分配）、量子门/纠错拓扑（门库幺正性 + surface code k=1 + CR 门）、大规模系统基准（8 WDM×8 qubit 联合压测 + 容量自洽 + IL/间隔/网格四边界）。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护城河两件：L0 IR 开放标准 v0.3 定稿（docs/ir_spec.md + JSON Schema + 零漂移校验——社区共建起点，标准文档即真值）；验证合约工业化（run_ci_regression.py 一键全量回归 27 PASS/0 FAIL + 性能基准 + 基线漂移监控——协作门槛降低）。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逆设计纵深四阶（Track A）：谱形目标（分束比 0.574 / 3 波长谱形 11.7× / 模式匹配 8.6×）→ 形状逆设计（宽度曲线控制点，可制造性内建 DRC，imp 6.6× + Pareto 多目标）→ 形状+拓扑混合（分层表达，概率 OR 光滑组合，混合 imp 18.3× vs 纯形状 6.0×，增益 3.06×）——逼近商业 EDA adjoint 逆设计核心卖点。</w:t>
      </w:r>
    </w:p>
    <w:p>
      <w:pPr>
        <w:spacing w:after="120" w:line="300"/>
        <w:jc w:val="left"/>
      </w:pPr>
      <w:r>
        <w:rPr>
          <w:sz w:val="21"/>
          <w:szCs w:val="21"/>
        </w:rPr>
        <w:t xml:space="preserve">WebUI 四十三面板，全部交付三端（本地/Gitee/GitHub）tree 级零差异同步。诚实边界：2D TEz 求解为主（3D 端口验收小几何）、系统级链路为解析物理模型、实证大数据锚待发动期数据（D-62 暂缓）、不宣称签核级。</w:t>
      </w:r>
    </w:p>
    <w:p>
      <w:pPr>
        <w:pBdr>
          <w:top w:val="single" w:color="BFBFBF" w:sz="6" w:space="8"/>
        </w:pBdr>
        <w:spacing w:before="200"/>
      </w:pPr>
      <w:r>
        <w:rPr>
          <w:i/>
          <w:iCs/>
          <w:color w:val="808080"/>
          <w:sz w:val="18"/>
          <w:szCs w:val="18"/>
        </w:rPr>
        <w:t xml:space="preserve">本白皮书依据 LDA 前期战略文档包（可行性分析、技术白皮书、市场竞争与赛道分析、发展里程碑与路线图）提炼对外版本，关键技术结论均来自真实运行的自研代码与确定性验证脚本；v1.2 增补第 3.4 节主权全链路 GDSII 已出片版图库。</w:t>
      </w:r>
    </w:p>
    <w:sectPr>
      <w:footerReference w:type="default" r:id="rId7"/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LDA 产业共建白皮书 v1.2 · 工业5点0产业生态联盟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2026-09-21T09:20:09.882Z</dcterms:created>
  <dcterms:modified xsi:type="dcterms:W3CDTF">2026-09-21T09:20:09.883Z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