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600"/>
        <w:jc w:val="center"/>
      </w:pPr>
      <w:r>
        <w:rPr>
          <w:b/>
          <w:bCs/>
          <w:color w:val="1F4E79"/>
          <w:sz w:val="48"/>
          <w:szCs w:val="48"/>
        </w:rPr>
        <w:t xml:space="preserve">LDA 产业共建白皮书</w:t>
      </w:r>
    </w:p>
    <w:p>
      <w:pPr>
        <w:spacing w:before="120"/>
        <w:jc w:val="center"/>
      </w:pPr>
      <w:r>
        <w:rPr>
          <w:color w:val="404040"/>
          <w:sz w:val="26"/>
          <w:szCs w:val="26"/>
        </w:rPr>
        <w:t xml:space="preserve">开源 · Agent 原生的光芯片与量子芯片设计底座</w:t>
      </w:r>
    </w:p>
    <w:p>
      <w:pPr>
        <w:pBdr>
          <w:bottom w:val="single" w:color="2E75B6" w:sz="12" w:space="8"/>
        </w:pBdr>
        <w:spacing w:before="40"/>
        <w:jc w:val="center"/>
      </w:pPr>
      <w:r>
        <w:t xml:space="preserve"/>
      </w:r>
    </w:p>
    <w:p>
      <w:pPr>
        <w:spacing w:before="360"/>
        <w:jc w:val="center"/>
      </w:pPr>
      <w:r>
        <w:rPr>
          <w:color w:val="595959"/>
          <w:sz w:val="22"/>
          <w:szCs w:val="22"/>
        </w:rPr>
        <w:t xml:space="preserve">面向产业界 · 学界 · 投资界的生态共建邀请</w:t>
      </w:r>
    </w:p>
    <w:p>
      <w:pPr>
        <w:spacing w:before="200"/>
        <w:jc w:val="center"/>
      </w:pPr>
      <w:r>
        <w:rPr>
          <w:color w:val="808080"/>
          <w:sz w:val="20"/>
          <w:szCs w:val="20"/>
        </w:rPr>
        <w:t xml:space="preserve">文档编号：LDA-IW-001   |   版本 v1.0（对外公开）   |   2026-08-16</w:t>
      </w:r>
    </w:p>
    <w:p>
      <w:pPr>
        <w:spacing w:before="40"/>
        <w:jc w:val="center"/>
      </w:pPr>
      <w:r>
        <w:rPr>
          <w:color w:val="808080"/>
          <w:sz w:val="20"/>
          <w:szCs w:val="20"/>
        </w:rPr>
        <w:t xml:space="preserve">编制：LDA 领域研究室 · 工业5点0产业生态联盟（杜玉河）</w:t>
      </w:r>
    </w:p>
    <w:p>
      <w:r>
        <w:br w:type="page"/>
      </w:r>
    </w:p>
    <w:p>
      <w:pPr>
        <w:pStyle w:val="Heading1"/>
        <w:spacing w:after="160"/>
      </w:pPr>
      <w:r>
        <w:rPr>
          <w:b/>
          <w:bCs/>
          <w:color w:val="1F4E79"/>
          <w:sz w:val="30"/>
          <w:szCs w:val="30"/>
        </w:rPr>
        <w:t xml:space="preserve">目录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0. 执行摘要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光芯片（PDA）与量子芯片（QEDA）是未来十年最具战略价值的两条硬科技赛道，但它们的设计工具——EDA——长期被美系商业巨头垄断，且巨头出于自身商业模式，结构性地不会去做“开放内核”。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LDA（Light-Driven Architecture）要做的，不是又一个“帮工程师画图”的工具，而是一个开源、自主可控、由 AI 智能体直接编写底层求解内核的设计底座。我们用一个已被验证的事实说明这不是设想：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LDA 的 AI 智能体已经自己写出了 1D / 2D / 3D 电磁场求解器（FDTD），并在“物理定律”这一不可辩驳的真值锚上，逐题通过了 5/5 验证。这意味着——“AI 造设计内核”这条路，已经从论文设想，变成了跑通的代码。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本白皮书面向产业界、学界与投资界伙伴，说明：我们要解决什么问题、我们已经证明了什么、我们邀请各方以何种方式共建、以及我们需要的关键资源。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1. 我们为什么做这件事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1.1 产业在爆发，工具在断供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光子器件产业正被 AI 数据中心拉动高速增长：800G / 1.6T 光互联需求使硅光器件产业 2025 年增速达 37%+；光子 EDA 软件 2025 年约 13 亿美元、年复合增速约 12%。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量子芯片进入国产窗口期：国产与海外在 QEDA 上无明显代差，自主可控战略意义极强。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但工具被“卡”：2025 年起美系 EDA 巨头（Synopsys / Cadence / Siemens）对华断供风险持续；Synopsys 完成对 Ansys 的收购后，光子仿真旗舰 Lumerical 归入其体系，垄断在加深而非减弱。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1.2 巨头的“结构性盲区”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巨头（Synopsys / Cadence）的收入根基是可信商业求解器的授权费。一旦由 AI 长出“开放、可验证、免费”的内核，等于击穿自己的收费地基——所以它们只会把 AI 做成商业工具里的“辅助层”，永远不会做开放内核。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这给 LDA 留下一个真实、且巨头结构性不能进入的生态真空：跨光子 + 量子统一的开放标准层（中间表示 IR + 智能体协议）+ AI 自举求解核。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1.3 现有开源“不够”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开源的 gdsfactory 已跑通“画版图 / 管 PDK”的布局层——它是我们要站在肩上的基座，但不是护城河。它不占“统一标准层”，更没有“AI 写求解内核”。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2. LDA 是什么：三个定位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200"/>
        <w:gridCol w:w="2860"/>
      </w:tblGrid>
      <w:tr>
        <w:trPr>
          <w:tblHeader/>
        </w:trP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维度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LDA 的定位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我们不做的是什么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对标对象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不做巨头的设计工具竞品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不重造商业 EDA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技术层次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做 gdsfactory 之上的“开放标准与编排内核”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不重写布局层（已是成熟开源）</w:t>
            </w:r>
          </w:p>
        </w:tc>
      </w:tr>
      <w:tr>
        <w:tc>
          <w:tcPr>
            <w:tcW w:type="dxa" w:w="2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核心创新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AI 智能体直接编写、并验证底层求解内核</w:t>
            </w:r>
          </w:p>
        </w:tc>
        <w:tc>
          <w:tcPr>
            <w:tcW w:type="dxa" w:w="2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不让人“手调参数”，让 agent 出结果</w:t>
            </w:r>
          </w:p>
        </w:tc>
      </w:tr>
    </w:tbl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一句话：LDA 是光芯片与量子芯片设计领域的“开放标准 + AI 造核”底座——中立、可插拔、能调度所有现存工具，并把研发过程本身也 agent 化。</w:t>
      </w:r>
    </w:p>
    <w:p>
      <w:pPr>
        <w:pStyle w:val="Heading3"/>
        <w:spacing w:after="80" w:before="140"/>
      </w:pPr>
      <w:r>
        <w:rPr>
          <w:b/>
          <w:bCs/>
          <w:color w:val="404040"/>
          <w:sz w:val="23"/>
          <w:szCs w:val="23"/>
        </w:rPr>
        <w:t xml:space="preserve">三大支柱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L0 统一中间表示（IR）：同一套机器语言，表达光子器件与量子器件的设计意图，使“电子-光子-量子协同设计”成为可能——巨头没认真做、gdsfactory 没占的真空格。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L1 智能体协议层：定义 Interpreter / Designer / Layout / Solver / Verifier 等开放接口，让多个 AI 智能体确定性、可验证地协作。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L3 AI 自举求解核：用 AI 写手 +（物理定律 + 实证大数据）裁判的闭环，长出可验证的求解器——这一步我们已经跑通。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3. 我们已证明了什么（核心差异化）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这一节是 LDA 区别于“又一个 PPT 项目”的关键。所有结论来自真实运行的自研代码与确定性验证脚本。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3.1 已交付：AI 自写的 FDTD 电磁求解核（1D / 2D / 3D）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200"/>
        <w:gridCol w:w="3360"/>
        <w:gridCol w:w="160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维度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交付物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验证方式（非 AI 真值锚）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fdtd1d.py（零依赖，AI 自写）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传输矩阵解析解（tmm）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4/4 PASS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fdtd2d.py（TEz Yee 网格）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解析解退化极限 + 点源柱面波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5/5 PASS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3D</w:t>
            </w:r>
          </w:p>
        </w:tc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fdtd3d.py（全 Yee 六分量）</w:t>
            </w:r>
          </w:p>
        </w:tc>
        <w:tc>
          <w:tcPr>
            <w:tcW w:type="dxa" w:w="33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解析解退化极限 + 点源球面波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selfcheck 5/5 PASS</w:t>
            </w:r>
          </w:p>
        </w:tc>
      </w:tr>
    </w:tbl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1D / 2D / 3D 全维度，透射谱均已无需借任何商业/美系求解器即得——这是“自主可控求解内核”路径第一个可运行、可复核的实证。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3.2 已交付：性能升维（已具备生产级 CPU 性能）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Numba-CPU JIT 加速：与纯参考实现逐字节等价，同精度 5/5 通过，约 20× 加速（16 分 19 秒 → 0.8 分）。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PyTorch 可切换 GPU/CPU 张量化后端：复用同一套几何构造、算法完全一致、CPU 上 5/5 逐位一致；device='cuda' 一行即切换 GPU——装上 CUDA 轮子即可点亮。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3.3 我们的“不可妥协”：验证底线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AI 写手 + AI 裁判可以最大化，但裁判最终判定必须落“非 AI 真值锚”——这是数学约束，不是保守：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① 物理定律锚：解析解、麦克斯韦方程确定性计算——方程的必然，不是某人的意见。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② 实证大数据锚：跨多源真实流片 / 测量语料，众人贡献、越用越厚。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没有任何外部真值的“纯 AI 互证”，等于两个 AI 互相点头——错了也被确认。此线不可破。这也是 LDA 赢得产业信任的根本。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4. 架构与护城河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4.1 分层架构（L0–L4）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L4 应用与生态（用户层 / 开源社区 / 认证商业版）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L3 求解器后端（FDTD/FEM/EME/量子哈密顿 ← AI 自举生成 / 插件调度）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L2 开放 PDK / 器件本体 Registry（社区 + 晶圆厂共建）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L1 智能体协议层（Interpreter/Designer/Layout/Solver/Verifier 开放接口）</w:t>
      </w:r>
    </w:p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L0 开放统一 IR/DSL（光子 + 量子统一中间表示）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护城河 = 标准 + 生态 + PDK 供给，而非某一段求解器代码。巨头与现有开源都没有占这一层。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4.2 自主可控（主权）策略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级别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含义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实例与处置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永久自主（C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第一天就自己掌握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L0 IR / L1 协议 / L3 AI 求解核 / 物理定律锚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主权化复用（B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fork + 镜像冷备，离线可构建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gdsfactory、Meep、KLayout、SAX 等开源组件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绝不依赖（A 级）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直接不采用</w:t>
            </w:r>
          </w:p>
        </w:tc>
        <w:tc>
          <w:tcPr>
            <w:tcW w:type="dxa" w:w="4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美系商业求解器（Lumerical / Ansys / Synopsys / Cadence）</w:t>
            </w:r>
          </w:p>
        </w:tc>
      </w:tr>
    </w:tbl>
    <w:p>
      <w:pPr>
        <w:spacing w:after="120" w:line="300"/>
        <w:jc w:val="left"/>
      </w:pPr>
      <w:r>
        <w:rPr>
          <w:sz w:val="21"/>
          <w:szCs w:val="21"/>
        </w:rPr>
        <w:t xml:space="preserve">GPL 红线：GPL 组件仅作外部进程调用，绝不污染核心代码的许可。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5. 生态共建模型：双引擎 + 四大集群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5.1 双引擎人群（LDA 开源生态的人力核心）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100"/>
        <w:gridCol w:w="3160"/>
      </w:tblGrid>
      <w:tr>
        <w:trPr>
          <w:tblHeader/>
        </w:trP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人群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诉求契合点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学生引擎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光电 / 微电子 / 量子 / 计算方向硕博与本科生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开源贡献生力军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把“自然语言 → GDSII”做成毕设 / 科研课题 / 竞赛题</w:t>
            </w:r>
          </w:p>
        </w:tc>
      </w:tr>
      <w:tr>
        <w:tc>
          <w:tcPr>
            <w:tcW w:type="dxa" w:w="1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退休专家引擎</w:t>
            </w:r>
          </w:p>
        </w:tc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EDA 老炮、光电半导体退休研究员、高校退休博导</w:t>
            </w:r>
          </w:p>
        </w:tc>
        <w:tc>
          <w:tcPr>
            <w:tcW w:type="dxa" w:w="2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 / 导师 / 质量背书</w:t>
            </w:r>
          </w:p>
        </w:tc>
        <w:tc>
          <w:tcPr>
            <w:tcW w:type="dxa" w:w="31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有资源、有情怀、有时间，退休再发挥余热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5.2 四大对接集群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200"/>
        <w:gridCol w:w="3760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集群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核心机构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主打价值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武汉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武汉光电国家研究中心 / NOEIC / 华科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硅光 PDK + 学生密度全国最高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重庆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CUMEC（开放硅光工艺平台）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开放 PDK 对接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上海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SITRI / 图灵量子 / 芯和 / 华大九天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PDK + 光量子 + EDA 老炮三重富集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合肥</w:t>
            </w:r>
          </w:p>
        </w:tc>
        <w:tc>
          <w:tcPr>
            <w:tcW w:type="dxa" w:w="4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中科大 / 本源 / 国盾</w:t>
            </w:r>
          </w:p>
        </w:tc>
        <w:tc>
          <w:tcPr>
            <w:tcW w:type="dxa" w:w="3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量子最强院校 + 量子企业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5.3 企业 / 晶圆厂协同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硅光代工 PDK：NOEIC / CUMEC / SITRI 等——对接本土工艺，共建“自主可控”牌。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光模块 / 光子计算 / 量子芯片企业：中际旭创、新易盛、曦智、图灵量子、本源、国盾等——既是潜在用户，也是退休专家来源与实测语料来源。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EDA 企业退休群体：华大九天 / 概伦 / 芯华章等——补足“基准题策展”与“信任墙”两块关键短板。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6. 资源诉求（我们邀请各方共建什么）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LDA 已用极小成本证明了技术可行性。要把“可用的内核”变成“产业可用的生态”，需要以下关键资源。我们坚持“开发主权 AI 自举、验证与语料开放协作”的原则——不外包核心开发，但诚挚邀请各方在各自可即插即用的资产上共建。</w:t>
      </w:r>
    </w:p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6.1 关键资源清单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260"/>
        <w:gridCol w:w="2500"/>
        <w:gridCol w:w="1900"/>
      </w:tblGrid>
      <w:tr>
        <w:trPr>
          <w:tblHeader/>
        </w:trP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资源类别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具体诉求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用于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回报方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算力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自配 GPU 部署机（RTX 50 系 / 数据中心级）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点亮 3D GPU 求解核、攻生产级超大网格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算力提供方（联合研发 / 署名）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实测语料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真实流片 / 测量数据（S 参数、n_eff、透射谱）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建“实证大数据锚”，让 AI 裁判可信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晶圆厂 / 器件企业 / 高校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顾问与背书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退休 EDA 老炮、光电 / 量子退休研究员入库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把关基准题、为开源内核背书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顾问委员会成员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院校合作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毕设 / 竞赛 / 科研课题联合设立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学生引擎开源贡献冷启动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高校实验室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晶圆厂 PDK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本土硅光 PDK 对接意向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打通“设计 → 签核 → 流片”闭环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PDK 供给方（生态位卡位）</w:t>
            </w:r>
          </w:p>
        </w:tc>
      </w:tr>
      <w:tr>
        <w:tc>
          <w:tcPr>
            <w:tcW w:type="dxa" w:w="1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资金 / 商业合作</w:t>
            </w:r>
          </w:p>
        </w:tc>
        <w:tc>
          <w:tcPr>
            <w:tcW w:type="dxa" w:w="32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认证版研发、垂直场景落地、赛事运营</w:t>
            </w:r>
          </w:p>
        </w:tc>
        <w:tc>
          <w:tcPr>
            <w:tcW w:type="dxa" w:w="2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阶段 3 商业试点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战略投资 / 产业合作方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color w:val="1F4E79"/>
          <w:sz w:val="26"/>
          <w:szCs w:val="26"/>
        </w:rPr>
        <w:t xml:space="preserve">6.2 我们能给出什么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定义标准的先发卡位：L0/L1 开放标准的共同制定权。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可信验证基建：公开对抗性基准 + 反向悬赏，共建行业信任。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自主可控底座：对美系断供风险的结构性对冲，对国产替代的直接支撑。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成果共享：开源内核免费使用；认证版提供 SLA 与责任兜底（红帽模式）。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7. 路线图与里程碑</w:t>
      </w:r>
    </w:p>
    <w:p>
      <w:pPr>
        <w:spacing w:after="120" w:line="300"/>
        <w:jc w:val="left"/>
      </w:pPr>
      <w:r>
        <w:rPr>
          <w:sz w:val="21"/>
          <w:szCs w:val="21"/>
        </w:rPr>
        <w:t xml:space="preserve">阶段0 战略奠基 ✅  →  阶段1 技术验证（进行中）  →  阶段2 生态启动  →  阶段3 商业试点  →  阶段4 规模扩张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400"/>
        <w:gridCol w:w="5760"/>
      </w:tblGrid>
      <w:tr>
        <w:trPr>
          <w:tblHeader/>
        </w:trP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阶段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主题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当前状态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战略奠基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✅ 已完成（战略纪要、主权政策、4 份分析文档）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技术验证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🔶 进行中：FDTD 1D/2D/3D + 性能升维已实证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生态启动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开源首发 + 基准套件 + 双引擎招募（本白皮书即启动动作之一）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商业试点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认证版 + 首个 PDK 合作 + 垂直场景落地</w:t>
            </w:r>
          </w:p>
        </w:tc>
      </w:tr>
      <w:tr>
        <w:tc>
          <w:tcPr>
            <w:tcW w:type="dxa" w:w="1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2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规模扩张</w:t>
            </w:r>
          </w:p>
        </w:tc>
        <w:tc>
          <w:tcPr>
            <w:tcW w:type="dxa" w:w="5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70"/>
              <w:left w:type="dxa" w:w="120"/>
              <w:bottom w:type="dxa" w:w="70"/>
              <w:right w:type="dxa" w:w="120"/>
            </w:tcMar>
            <w:vAlign w:val="center"/>
          </w:tcPr>
          <w:p>
            <w:pPr>
              <w:spacing w:line="260"/>
              <w:jc w:val="left"/>
            </w:pPr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⏳ 跨赛道 / 跨区域复制 + 标准话语权</w:t>
            </w:r>
          </w:p>
        </w:tc>
      </w:tr>
    </w:tbl>
    <w:p>
      <w:pPr>
        <w:spacing w:after="120" w:line="300"/>
        <w:jc w:val="left"/>
      </w:pPr>
      <w:r>
        <w:rPr>
          <w:b/>
          <w:bCs/>
          <w:color w:val="1F4E79"/>
          <w:sz w:val="21"/>
          <w:szCs w:val="21"/>
        </w:rPr>
        <w:t xml:space="preserve">已固化决策：光子优先、量子后上；先单点垂直场景、后统一。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8. 风险与治理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验证底线不可破：裁判最终判定强制落物理定律 + 大数据锚——这是信任的来源。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主权红线：A 级永借、B 级主权化、C 级自主；GPL 组件仅外部调用。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窗口竞速：每个阶段末尾交付“可公开锁定”的资产（标准草案 / 基准 / PDK 意向），用先发筑墙。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责任归属：开源 AS-IS 免责 + 认证版 SLA，签核责任落在设计师 + 代工 PDK。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sz w:val="21"/>
          <w:szCs w:val="21"/>
        </w:rPr>
        <w:t xml:space="preserve">诚实边界：主权核以 float64 运行，在消费级 GPU 上加速比可能不及数据中心卡——我们如实标注，绝不夸大。</w:t>
      </w:r>
    </w:p>
    <w:p>
      <w:pPr>
        <w:pStyle w:val="Heading1"/>
        <w:spacing w:after="140" w:before="280"/>
      </w:pPr>
      <w:r>
        <w:rPr>
          <w:b/>
          <w:bCs/>
          <w:color w:val="1F4E79"/>
          <w:sz w:val="30"/>
          <w:szCs w:val="30"/>
        </w:rPr>
        <w:t xml:space="preserve">9. 如何参与（行动号召）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院校 / 学生：认领一个“Good First Issue”，把光子 / 量子设计自动化做成课题。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退休专家：加入顾问委员会，把关基准、为自主内核背书——退休再发挥一次余热。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晶圆厂 / 器件企业：提供 PDK 或实测语料，共建“实证大数据锚”，锁定生态位。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sz w:val="21"/>
          <w:szCs w:val="21"/>
        </w:rPr>
        <w:t xml:space="preserve">投资 / 产业方：联合点亮 GPU 算力与垂直场景，共享定义标准与自主可控的红利。</w:t>
      </w:r>
    </w:p>
    <w:p>
      <w:pPr>
        <w:pBdr>
          <w:left w:val="single" w:color="2E75B6" w:sz="18" w:space="12"/>
        </w:pBdr>
        <w:spacing w:after="160" w:before="80" w:line="320"/>
      </w:pPr>
      <w:r>
        <w:rPr>
          <w:i/>
          <w:iCs/>
          <w:color w:val="404040"/>
          <w:sz w:val="22"/>
          <w:szCs w:val="22"/>
        </w:rPr>
        <w:t xml:space="preserve">联系：工业5点0产业生态联盟 · 杜玉河（微信号：gongyhlw）</w:t>
      </w:r>
    </w:p>
    <w:p>
      <w:pPr>
        <w:pBdr>
          <w:top w:val="single" w:color="BFBFBF" w:sz="6" w:space="8"/>
        </w:pBdr>
        <w:spacing w:before="200"/>
      </w:pPr>
      <w:r>
        <w:rPr>
          <w:i/>
          <w:iCs/>
          <w:color w:val="808080"/>
          <w:sz w:val="18"/>
          <w:szCs w:val="18"/>
        </w:rPr>
        <w:t xml:space="preserve">本白皮书依据 LDA 前期战略文档包（可行性分析、技术白皮书、市场竞争与赛道分析、发展里程碑与路线图）提炼对外版本，关键技术结论均来自真实运行的自研代码与确定性验证脚本。</w:t>
      </w:r>
    </w:p>
    <w:sectPr>
      <w:footerReference w:type="default" r:id="rId7"/>
      <w:pgSz w:w="11906" w:h="16838" w:orient="portrait"/>
      <w:pgMar w:top="144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LDA 产业共建白皮书 v1.0 · 工业5点0产业生态联盟 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Microsoft YaHei" w:cs="Microsoft YaHei" w:eastAsia="Microsoft YaHei" w:hAnsi="Microsoft YaHei"/>
      <w:b/>
      <w:bCs/>
      <w:color w:val="404040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2026-08-15T22:11:47.467Z</dcterms:created>
  <dcterms:modified xsi:type="dcterms:W3CDTF">2026-08-15T22:11:47.470Z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