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光子产业设计联盟 · 资源总索引（Resource Master Index）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一句话定位：LDA（开源 Agent 原生 EDA：光子芯片设计自动化 + 物理定律锚仿真验证）牵头组建「光子产业设计联盟」，把</w:t>
      </w:r>
      <w:r>
        <w:rPr>
          <w:rFonts w:ascii="Calibri" w:hAnsi="Calibri" w:eastAsia="宋体"/>
          <w:b/>
          <w:i/>
          <w:color w:val="555555"/>
          <w:sz w:val="19"/>
        </w:rPr>
        <w:t>地方集聚地、龙头企业、院校平台、学术/产业带头人、展会窗口、产业专项政策、项目对口政策、资本/协会/标准、投资人</w:t>
      </w:r>
      <w:r>
        <w:rPr>
          <w:rFonts w:ascii="Calibri" w:hAnsi="Calibri" w:eastAsia="宋体"/>
          <w:i/>
          <w:color w:val="555555"/>
          <w:sz w:val="19"/>
        </w:rPr>
        <w:t>九层资源拉通成一张可对接地图。谁掌握"设计入口"谁就是隐形链主——LDA 不抢制造、不抢流片，做 PDK 兼容的开源设计自动化 + 第三方物理锚验证，成为设计公司通往 CUMEC/中芯/三安流片接口的统一入口。    编制日期：2026-09-05 ｜ 数据口径：2024–2026 公开资料（政府公报/年报/研报/协会官网/权威媒体），正式对接前请二次核实营收/股权/对接人/PDK 版本。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一、九份清单索引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文件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内容维度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核心规模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一句话关键发现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design_alliance_census.md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产业集群 / 集聚地 + 龙头企业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10 处集聚地 + 30+ 龙头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武汉光谷最完整、苏州供应链最猛、CUMEC 是制造底座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design_alliance_census_academia.md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院校 / 国家级平台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7 区域 + 5 国家级平台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院校=标准源/PDK源/基准锚源/人才源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census_academic_leaders.md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学术带头人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32 位（18 院士）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郑婉华/金贤敏/张新亮为 P0 三角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census_industry_leaders.md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产业带头人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30 位 / 6 赛道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刘圣/黄宣泽/马新强 + CUMEC 韩建忠/王涛 为 P0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census_exhibitions.md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展会 / 会议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14 个（国内 7 + 国际 7）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CIOE(9月)+SiPC光谷(5月)+OFC(3月) 为年度三叉戟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census_policies.md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产业专项政策（光子/光电子下游）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46 项（国家 15/省 16/专项 15）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十五五首列光电子；上海硅光专项/武汉世界光谷/大基金三期最可用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census_ecosystem_others.md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资本 / 协会 / 标准（补充）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10 资本 + 7 组织 + 6 标准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中科创星+NOEIC+CCSA 是软连接层三支柱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census_investors.md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投资机构 + 关键投资人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34 机构 + 38 投资人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 机构=中科创星/上海硅光芯源/国家创投引导基金；P0 人=米磊/白熠/宓群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census_policies_project_fit.md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项目对口政策（工业智能体/开源/工业软件/中小企业）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41 项（六方向）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 五口并行；首版次(2026-01截止)+政府首购+专精特新→小巨人 最紧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二、P0 首批触达地图（跨清单提炼）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A. 地方集聚地（先谈"地方"，再连企业/院校）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集聚地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牵头对接对象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联盟价值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武汉·中国光谷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东湖高新区管委会 / 九峰山实验室 / 武汉光电国家研究中心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最完整产学研用闭环，万亿集群+国家信息光电子创新中心已就位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上海·张江"硅光芯源"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浦东科经委 / 上海微系统所 / 上海交大 CHIPX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全国首个硅光专项，政策+资本+平台最系统化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重庆·CUMEC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CUMEC 韩建忠/王涛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 PDK 与中试平台国家队，LDA 流片接口核心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苏州</w:t>
            </w:r>
            <w:r>
              <w:rPr>
                <w:rFonts w:ascii="Calibri" w:hAnsi="Calibri" w:eastAsia="宋体"/>
                <w:sz w:val="18"/>
              </w:rPr>
              <w:t>（纳米城/太湖光子）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苏州纳米城 / 太湖光子基金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民营供应链最猛，全国首条 8 寸硅光量产线（2026 底通线）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成都·双流 AI 芯城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 / 双流区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光模块高地（新易盛全球第 3），西部节点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B. 标杆企业 / 产业带头人（双线不偏废：龙头签标杆 + 中小养生态）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带头人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角色定位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中际旭创(300308)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刘圣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联盟发起标杆，硅光/1.6T 定义方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光迅科技(002281)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黄宣泽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理事会核心，芯片→模块垂直集成全栈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华工科技(000988)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马新强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武汉光谷链主，激光+光联接双布局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CUMEC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韩建忠/王涛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 PDK 接口共建方（技术闭环关键）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三安光电(600703)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林志强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化合物半导体代工链主，光芯片代工 PDK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新易盛(300502)/源杰(688498)/光库(300620)/长光华芯(688048)/仕佳(688313)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高光荣/张欣刚/曲志超/闵大勇/葛海泉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硅光/激光/无源芯片 PDK 共建与生态养成分工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C. 院校 / 学术带头人（标准源/PDK源/基准锚源/人才源）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单位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带头人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卡位点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华中科技大学·武汉光电国家研究中心 + 九峰山实验室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张新亮 / 丁琪超 / Andy Shen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同城闭环最完整，可签"设计联盟策源地"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上海交大 CHIPX + 上海微系统所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金贤敏 / 余明斌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已具设计-流片-大模型链路，LDA 补物理锚验证即互补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中科院半导体所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郑婉华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90nm 8 寸硅光混合平台，PDK 基线最佳样板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西安光机所·先导院 / 鹏城实验室 / 深大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郝跃 / 余少华 / 袁小聪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中试平台已开放、教学科研标杆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电子科大（成电）/ 清华 / 浙大+之江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新易盛同源 / 罗毅 / 戴道锌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进入智算光互联标准话语层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D. 政策 / 资本 / 标准 / 展会 入口（规则与弹药）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维度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P0 优先项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产业专项政策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工信部《电子信息制造业 2025–2026 稳增长行动方案》（首列光子/CPO）；上海硅光专项；武汉《世界光谷建设行动计划》；大基金三期；国家创投引导基金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项目对口政策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工信部《首版次软件申报》(2026-01截止,工业软件方向)；政府首购(财库〔2024〕13号)；国发〔2020〕8号 EDA 税收优惠；工信部联科〔2025〕279号"1000个工业智能体"；专精特新→小巨人；开放原子开源托管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资本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中科创星（光子全生态耐心资本）、太湖光子基金、国家创投引导基金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协会/联盟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NOEIC"公司+联盟"模式、ICC 讯石 SiPC 论坛、上海"硅光芯源"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标准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CCSA TC6（光模块/光传输）、电子标准院 CPO 标准（T/CESA 1266-2023）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投资人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米磊(中科创星)、白熠(华为哈勃)、宓群(光速光合)；备选袁博/陈大同/高爱民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展会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CIOE 深圳(9月) 旗舰主场；SiPC 光谷(5月) 根据地；OFC 美国(3月) 国际化窗口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三、联盟价值主张（一句话，可直接用于拜访/发函）</w:t>
      </w:r>
    </w:p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"让每一家中小光电企业都养得起一支'设计团队'：开源 EDA + 国产 PDK，设计即流片。"</w:t>
      </w:r>
      <w:r>
        <w:rPr>
          <w:rFonts w:ascii="Calibri" w:hAnsi="Calibri" w:eastAsia="宋体"/>
          <w:i/>
          <w:color w:val="555555"/>
          <w:sz w:val="19"/>
        </w:rPr>
        <w:t xml:space="preserve">  对院校版：</w:t>
      </w:r>
      <w:r>
        <w:rPr>
          <w:rFonts w:ascii="Calibri" w:hAnsi="Calibri" w:eastAsia="宋体"/>
          <w:b/>
          <w:i/>
          <w:color w:val="555555"/>
          <w:sz w:val="19"/>
        </w:rPr>
        <w:t>"让院校的 PDK 和工艺平台长出开源设计生态——学生毕业即会国产流片，教授研究直连中试线。"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四、下一步建议（已规划，待杜先生确认启动）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首批 10 家拜访包</w:t>
      </w:r>
      <w:r>
        <w:rPr>
          <w:rFonts w:ascii="Calibri" w:hAnsi="Calibri" w:eastAsia="宋体"/>
          <w:sz w:val="20"/>
        </w:rPr>
        <w:t>：CUMEC、武汉光谷管委会/九峰山、苏州工业园集成创新中心、上海张江硅光集聚区、新易盛、中际旭创、光迅、华工科技、华科、上交 CHIPX —— 含每家对接人定位、沟通要点、我方价值主张。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发函方案</w:t>
      </w:r>
      <w:r>
        <w:rPr>
          <w:rFonts w:ascii="Calibri" w:hAnsi="Calibri" w:eastAsia="宋体"/>
          <w:sz w:val="20"/>
        </w:rPr>
        <w:t>：联盟共建倡议书 + 一页纸价值主张 + 试点 PDK 接口合作条款。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政策申报双线</w:t>
      </w:r>
      <w:r>
        <w:rPr>
          <w:rFonts w:ascii="Calibri" w:hAnsi="Calibri" w:eastAsia="宋体"/>
          <w:sz w:val="20"/>
        </w:rPr>
        <w:t>：以"联盟共建方案 + 揭榜挂帅/小巨人"并行，优先对接武汉东湖/上海浦东张江/苏州高新区。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展会排期</w:t>
      </w:r>
      <w:r>
        <w:rPr>
          <w:rFonts w:ascii="Calibri" w:hAnsi="Calibri" w:eastAsia="宋体"/>
          <w:sz w:val="20"/>
        </w:rPr>
        <w:t>：以 CIOE(9月) 为年度旗舰、SiPC 光谷(5月) 为根据地、OFC(3月) 为国际化窗口，提前 6 个月排期。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五、使用说明与免责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本索引为</w:t>
      </w:r>
      <w:r>
        <w:rPr>
          <w:rFonts w:ascii="Calibri" w:hAnsi="Calibri" w:eastAsia="宋体"/>
          <w:b/>
          <w:sz w:val="20"/>
        </w:rPr>
        <w:t>动态地图</w:t>
      </w:r>
      <w:r>
        <w:rPr>
          <w:rFonts w:ascii="Calibri" w:hAnsi="Calibri" w:eastAsia="宋体"/>
          <w:sz w:val="20"/>
        </w:rPr>
        <w:t>，建议每季度更新一次；重大工商变更（高管/股权/PDK 版本）须二次核实。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所有清单文件与本索引位于 </w:t>
      </w:r>
      <w:r>
        <w:rPr>
          <w:rFonts w:ascii="Calibri" w:hAnsi="Calibri" w:eastAsia="宋体"/>
          <w:sz w:val="20"/>
        </w:rPr>
        <w:t>D:\agent_LDA\</w:t>
      </w:r>
      <w:r>
        <w:rPr>
          <w:rFonts w:ascii="Calibri" w:hAnsi="Calibri" w:eastAsia="宋体"/>
          <w:sz w:val="20"/>
        </w:rPr>
        <w:t xml:space="preserve">，命名统一 </w:t>
      </w:r>
      <w:r>
        <w:rPr>
          <w:rFonts w:ascii="Calibri" w:hAnsi="Calibri" w:eastAsia="宋体"/>
          <w:sz w:val="20"/>
        </w:rPr>
        <w:t>census_*</w:t>
      </w:r>
      <w:r>
        <w:rPr>
          <w:rFonts w:ascii="Calibri" w:hAnsi="Calibri" w:eastAsia="宋体"/>
          <w:sz w:val="20"/>
        </w:rPr>
        <w:t xml:space="preserve"> / </w:t>
      </w:r>
      <w:r>
        <w:rPr>
          <w:rFonts w:ascii="Calibri" w:hAnsi="Calibri" w:eastAsia="宋体"/>
          <w:sz w:val="20"/>
        </w:rPr>
        <w:t>design_alliance_*</w:t>
      </w:r>
      <w:r>
        <w:rPr>
          <w:rFonts w:ascii="Calibri" w:hAnsi="Calibri" w:eastAsia="宋体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LDA 立场：开源、Agent 原生、物理定律锚红线、LLM 不进判决路径；对接时强调"中立设计入口"定位，避免与被对接方的制造/流片业务冲突。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