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80"/>
        </w:rPr>
      </w:r>
    </w:p>
    <w:p>
      <w:pPr>
        <w:jc w:val="center"/>
      </w:pPr>
      <w:r>
        <w:rPr>
          <w:rFonts w:ascii="Microsoft YaHei" w:hAnsi="Microsoft YaHei" w:eastAsia="Microsoft YaHei"/>
          <w:b/>
          <w:color w:val="0B2545"/>
          <w:sz w:val="80"/>
        </w:rPr>
        <w:t>智衍 EvolvIQ</w:t>
      </w:r>
    </w:p>
    <w:p>
      <w:pPr>
        <w:jc w:val="center"/>
      </w:pPr>
      <w:r>
        <w:rPr>
          <w:rFonts w:ascii="Microsoft YaHei" w:hAnsi="Microsoft YaHei" w:eastAsia="Microsoft YaHei"/>
          <w:b/>
          <w:color w:val="2563EB"/>
          <w:sz w:val="52"/>
        </w:rPr>
        <w:t>造船行业智能体合作方案书</w:t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8"/>
        </w:rPr>
        <w:t>工业 AI 决策大脑 · 让每艘船拥有可对话的决策分身</w:t>
      </w:r>
    </w:p>
    <w:p>
      <w:r>
        <w:rPr>
          <w:sz w:val="60"/>
        </w:rPr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6"/>
        </w:rPr>
        <w:t>杜玉河 · 工业 5 点 0 产业生态联盟</w:t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4"/>
        </w:rPr>
        <w:t>2026 年 10 月</w:t>
      </w:r>
    </w:p>
    <w:p>
      <w:r>
        <w:br w:type="page"/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一、背景与目的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中国造船业连续多年位居全球前列，但在「多品种、小批量、长周期」的项目制模式下，经营管控者长期面对进度、成本、质量、设备、研发多源信息割裂的困境：决策依赖经验、响应滞后、归因困难。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 EvolvIQ 是一套面向工业的 AI 决策平台，以「工业 AI 决策分身」为核心，在客户既有的 ERP / MES 之上叠加实时决策脑与全息真相源，而非推倒重来。本方案书系统梳理造船行业的痛点、智衍的能力矩阵与合作进阶路径，作为与造船企业系统化交流、迈向智能体深度合作的共同基线。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475569"/>
          <w:sz w:val="21"/>
        </w:rPr>
        <w:t>说明：出于零真名铁律，本方案书中涉及的客户均作匿名化处理，真实主体仅限内部视图，不对第三方披露。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二、造船行业的决策痛点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基于与多家头部造船集团（含演示租户与培训接触客户）的交流，造船企业的决策瓶颈高度集中在以下四类：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#</w:t>
            </w:r>
          </w:p>
        </w:tc>
        <w:tc>
          <w:tcPr>
            <w:tcW w:type="dxa" w:w="238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决策痛点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典型表现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影响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1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多品种·小批量·长周期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一艘船即一个定制项目，分段、舾装、调试跨数月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进度、资源、成本难以实时掌控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大型专用设备多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龙门吊、焊接机器人、船坞、船用柴油机停机损失高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运维依赖老师傅经验，故障被动救火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一次合格率低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船体报验环节多，缺陷归因链条长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返工代价巨大，质量成本不可控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4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跨专业协同复杂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设计、工艺、生产、质量数据割裂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变更影响难量化，协同成本高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三、智衍定位：工业 AI 决策分身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智衍不替代企业的 ERP / MES，而是在其之上叠加「实时决策脑 + 全息真相源」。其能力以四层决策分身框架组织，与客户的决策层级天然对齐：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24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层级</w:t>
            </w:r>
          </w:p>
        </w:tc>
        <w:tc>
          <w:tcPr>
            <w:tcW w:type="dxa" w:w="192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决策分身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核心职责</w:t>
            </w:r>
          </w:p>
        </w:tc>
        <w:tc>
          <w:tcPr>
            <w:tcW w:type="dxa" w:w="260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价值落点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产业级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产业决策分身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全球价值链与宏观周期洞察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先于行业看清趋势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行业级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行业洞察分身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对标与行业基准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找准自身坐标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企业级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经营管控分身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驾驶舱与经营决策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实时掌控经营全局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专业级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岗位执行分身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 / 工艺 / 质量执行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直达现场与设备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 w:val="0"/>
          <w:color w:val="0F172A"/>
          <w:sz w:val="22"/>
        </w:rPr>
        <w:t>成熟度阶梯：L0 观察 → L1 判断 → L2 预案 → L3 授权执行。当前大多数场景处于 L0–L2，对外不承诺 L3——分身提供判断与预案，最终决策与签署由人终审（人留终审红线）。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护城河：四层框架由同一套知识资产与 Agent 贯通，支持跨层下钻，而非孤立的工具集合。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四、造船九类智能体矩阵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行业成为数据驱动的一等公民：智能体的名称、场景与设备类型随行业 manifest 自动切换。面向造船业务域，智衍落地九类智能体：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24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业务域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智能体</w:t>
            </w:r>
          </w:p>
        </w:tc>
        <w:tc>
          <w:tcPr>
            <w:tcW w:type="dxa" w:w="51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核心能力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设备健康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健康诊断、预测维护建议、关键部件寿命管理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装配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分段装配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分段合拢进度、节拍与资源协同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涂装焊接缺陷判定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缺陷误报过滤、阈值优化、复判工时节省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报验合格率趋势、缺陷分类、设备-质量根因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质量追溯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跨工序质量问题归因与闭环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工艺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可建造性检查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焊接可达性 / 精度 / 安全规则自动审查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新船型导入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全生命周期里程碑、风险识别、批量试产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标准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船级社标准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IACS / CCS / LR / DNV / ABS 规范辅助查询与判定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设计变更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受影响 BOM / 在制 / 库存 / 工序识别 + 协同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五、三类核心能力抓手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① 设备健康与预测维护：覆盖造船关键设备（船坞 / 龙门吊 / 焊接机器人 / 数控板材 / 喷砂涂装线 / 船用柴油机），事件流经 UNS 实时上屏，异常自动预警。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② 质量与工艺：一次合格率 Agent 串联船体报验合格率趋势、缺陷分类与设备-质量关联根因；涂装 / 焊接缺陷判定 Agent 降低误报与复判工时；可建造性检查 Agent 把合规审查前置。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③ 研发与船级社标准：新船型导入 Agent 管理全生命周期风险；船级社标准 Agent 把「翻规范」升级为「对话即得答案」；设计变更 Agent 量化变更影响并驱动跨部门协同。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「一次合格率」是造船质量的生命线指标——智衍的目标是从被动报验走向主动预防。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六、技术架构：数字孪生五要素 + 行业 manifest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智衍以「数字孪生五要素」为底座，构成可验证的决策闭环：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要素</w:t>
            </w:r>
          </w:p>
        </w:tc>
        <w:tc>
          <w:tcPr>
            <w:tcW w:type="dxa" w:w="691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OGG 几何内核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统一几何与拓扑真相源，支撑设备与船体结构孪生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Agent 智能层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九类行业智能体驱动的实时判断与预案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实时数据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UNS 事件流持续接入，全要素实时在线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CAE 仿真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工艺与结构虚拟验证，降低试错成本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验证闭环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结论回流资产层，持续自我进化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行业 = manifest（设备表 / 触发词 / 智能体覆盖）。新增行业只丢一个 JSON，零代码改动——这是智衍「数据驱动、不堆代码」的核心设计。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七、行业验证与标杆实践（匿名）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我们已与 3+ 家头部造船集团建立接触，覆盖三类典型形态，并沿「培训赋能 → 业务接触 → 试点进阶」路径系统化沉淀行业认知：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客户形态（匿名）</w:t>
            </w:r>
          </w:p>
        </w:tc>
        <w:tc>
          <w:tcPr>
            <w:tcW w:type="dxa" w:w="1474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合作阶段</w:t>
            </w:r>
          </w:p>
        </w:tc>
        <w:tc>
          <w:tcPr>
            <w:tcW w:type="dxa" w:w="4876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聚焦场景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某大型造船集团（演示租户）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试点中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7 台关键设备点亮 + UNS 实时事件流上线，决策实时化率作为北极星被持续度量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某邮轮与散货船建造龙头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接触中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专项培训与业务场景接触，聚焦设备健康与质量一次合格率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某液化气船与高端船舶建造龙头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培训中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管理层培训与智能船厂蓝图探讨，聚焦研发与船级社标准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演示租户成效：从「看报表」升级为「实时看板 + 预警 + 预案」，经营管控者第一次拥有可对话的决策分身。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八、共性痛点与差异化试点场景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三家接触船厂虽形态各异，但共性痛点高度一致；同时基于各自业务重心，差异化试点切入点清晰：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36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共性痛点</w:t>
            </w:r>
          </w:p>
        </w:tc>
        <w:tc>
          <w:tcPr>
            <w:tcW w:type="dxa" w:w="442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差异化试点场景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大型专用设备停机损失高、运维靠经验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演示租户已点亮 7 台；邮轮/散货船龙头优先设备健康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一次合格率低、缺陷归因链条长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全员聚焦一次合格率；涂装/焊接缺陷判定优先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新船型与规范查询效率低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液化气船/高端船舶龙头优先研发与船级社标准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协同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跨专业数据割裂、变更影响难量化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设计变更 Agent 统一量化变更影响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九、合作进阶路径：G 模式三圈解锁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智衍采用 G 模式三圈解锁，由浅入深、零风险起步，逐步迈向智能体深度合作：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90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圈层</w:t>
            </w:r>
          </w:p>
        </w:tc>
        <w:tc>
          <w:tcPr>
            <w:tcW w:type="dxa" w:w="158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合作模式</w:t>
            </w:r>
          </w:p>
        </w:tc>
        <w:tc>
          <w:tcPr>
            <w:tcW w:type="dxa" w:w="4989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交付内容</w:t>
            </w:r>
          </w:p>
        </w:tc>
        <w:tc>
          <w:tcPr>
            <w:tcW w:type="dxa" w:w="170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集成要求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外圈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免费体验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注册即入职，零集成获得行业洞察与决策分身预生成（TTFV &lt; 60s）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零集成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中圈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 1 源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接入 1 路数据源（设备 / 质量 / 工艺任一），实时看板 + 预警 + 预案上线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 1 路数据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内圈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私有化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数据本地化部署 + 全量智能体 + 行业知识资产沉淀，决策实时化率稳态达标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私有化部署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十、北极星指标：决策实时化率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我们用「决策实时化率」衡量价值落地，而非传统签单口径——它直接反映经营管控者从「看报表」走向「实时决策」的比例：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04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阶段</w:t>
            </w:r>
          </w:p>
        </w:tc>
        <w:tc>
          <w:tcPr>
            <w:tcW w:type="dxa" w:w="226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决策实时化率</w:t>
            </w:r>
          </w:p>
        </w:tc>
        <w:tc>
          <w:tcPr>
            <w:tcW w:type="dxa" w:w="4876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MVP 试点期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≥ 40%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核心场景实时看板 + 预警 + 预案可用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稳态运营期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≥ 85%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全量经营决策由分身实时支撑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十一、试点建议与落地下一步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建议分三步推进，降低决策风险、快速验证价值：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第一步（0–4 周）：以「设备健康 + 质量一次合格率」双场景切入试点，接入 1 路数据源，跑通实时看板与预警。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第二步（1–3 月）：扩展至研发与船级社标准，沉淀行业知识资产，决策实时化率冲刺 40%。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第三步（3–6 月）：评估私有化部署，全量智能体上线，决策实时化率向 85% 稳态演进。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开户方式（双模）：① 名片即开户——口述公司名 / 网址即启动；② 表单注册——公司名 + 网站 + 选行业；③ 事件二维码——现场扫码即开启个性化战略。注册即入职，首屏预生成企业画像与洞察（TTFV &lt; 60s）。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十二、零真名铁律声明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本方案书对外版本严格执行零真名铁律：客户以「某大型造船集团 / 某邮轮与散货船建造龙头 / 某液化气船与高端船舶建造龙头」等形态匿名呈现，不点名、不暴露商业关系；真实主体仅限内部视图，未经授权不向任何第三方披露。</w:t>
      </w:r>
    </w:p>
    <w:p/>
    <w:p>
      <w:pPr>
        <w:spacing w:after="120"/>
      </w:pPr>
      <w:r>
        <w:rPr>
          <w:rFonts w:ascii="Microsoft YaHei" w:hAnsi="Microsoft YaHei" w:eastAsia="Microsoft YaHei"/>
          <w:b/>
          <w:color w:val="0F172A"/>
          <w:sz w:val="22"/>
        </w:rPr>
        <w:t>联系人：杜玉河（工业 5 点 0 产业生态联盟）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体验入口：demo / EvolvIQ2026（公开演示账号）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