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80"/>
        </w:rPr>
      </w:r>
    </w:p>
    <w:p>
      <w:pPr>
        <w:jc w:val="center"/>
      </w:pPr>
      <w:r>
        <w:rPr>
          <w:rFonts w:ascii="Microsoft YaHei" w:hAnsi="Microsoft YaHei" w:eastAsia="Microsoft YaHei"/>
          <w:b/>
          <w:color w:val="0B2545"/>
          <w:sz w:val="80"/>
        </w:rPr>
        <w:t>智衍 EvolvIQ</w:t>
      </w:r>
    </w:p>
    <w:p>
      <w:pPr>
        <w:jc w:val="center"/>
      </w:pPr>
      <w:r>
        <w:rPr>
          <w:rFonts w:ascii="Microsoft YaHei" w:hAnsi="Microsoft YaHei" w:eastAsia="Microsoft YaHei"/>
          <w:b/>
          <w:color w:val="2563EB"/>
          <w:sz w:val="52"/>
        </w:rPr>
        <w:t>造船行业智能体合作方案书</w:t>
      </w:r>
    </w:p>
    <w:p>
      <w:pPr>
        <w:jc w:val="center"/>
      </w:pPr>
      <w:r>
        <w:rPr>
          <w:rFonts w:ascii="Microsoft YaHei" w:hAnsi="Microsoft YaHei" w:eastAsia="Microsoft YaHei"/>
          <w:color w:val="475569"/>
          <w:sz w:val="28"/>
        </w:rPr>
        <w:t>工业 AI 决策大脑 · 让每艘船拥有可对话的决策分身</w:t>
      </w:r>
    </w:p>
    <w:p>
      <w:r>
        <w:rPr>
          <w:sz w:val="60"/>
        </w:rPr>
      </w:r>
    </w:p>
    <w:p>
      <w:pPr>
        <w:jc w:val="center"/>
      </w:pPr>
      <w:r>
        <w:rPr>
          <w:rFonts w:ascii="Microsoft YaHei" w:hAnsi="Microsoft YaHei" w:eastAsia="Microsoft YaHei"/>
          <w:color w:val="475569"/>
          <w:sz w:val="26"/>
        </w:rPr>
        <w:t>杜玉河 · 工业 5 点 0 产业生态联盟</w:t>
      </w:r>
    </w:p>
    <w:p>
      <w:pPr>
        <w:jc w:val="center"/>
      </w:pPr>
      <w:r>
        <w:rPr>
          <w:rFonts w:ascii="Microsoft YaHei" w:hAnsi="Microsoft YaHei" w:eastAsia="Microsoft YaHei"/>
          <w:color w:val="475569"/>
          <w:sz w:val="24"/>
        </w:rPr>
        <w:t>2026 年 10 月</w:t>
      </w:r>
    </w:p>
    <w:p>
      <w:r>
        <w:br w:type="page"/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一、背景与目的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中国造船业连续多年位居全球前列，但在「多品种、小批量、长周期」的项目制模式下，经营管控者长期面对进度、成本、质量、设备、研发多源信息割裂的困境：决策依赖经验、响应滞后、归因困难。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智衍 EvolvIQ 是一套面向工业的 AI 决策平台，以「工业 AI 决策分身」为核心，在客户既有的 ERP / MES 之上叠加实时决策脑与全息真相源，而非推倒重来。本方案书系统梳理造船行业的痛点、智衍的能力矩阵与合作进阶路径，作为与造船企业系统化交流、迈向智能体深度合作的共同基线。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475569"/>
          <w:sz w:val="21"/>
        </w:rPr>
        <w:t>说明：出于零真名铁律，本方案书中涉及的客户均作匿名化处理，真实主体仅限内部视图，不对第三方披露。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二、造船行业的决策痛点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基于与多家头部造船集团（含演示租户与培训接触客户）的交流，造船企业的决策瓶颈高度集中在以下四类：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#</w:t>
            </w:r>
          </w:p>
        </w:tc>
        <w:tc>
          <w:tcPr>
            <w:tcW w:type="dxa" w:w="238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决策痛点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典型表现</w:t>
            </w:r>
          </w:p>
        </w:tc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影响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1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多品种·小批量·长周期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一艘船即一个定制项目，分段、舾装、调试跨数月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进度、资源、成本难以实时掌控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大型专用设备多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龙门吊、焊接机器人、船坞、船用柴油机停机损失高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运维依赖老师傅经验，故障被动救火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一次合格率低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船体报验环节多，缺陷归因链条长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返工代价巨大，质量成本不可控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4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跨专业协同复杂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设计、工艺、生产、质量数据割裂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变更影响难量化，协同成本高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三、智衍定位：工业 AI 决策分身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智衍不替代企业的 ERP / MES，而是在其之上叠加「实时决策脑 + 全息真相源」。其能力以四层决策分身框架组织，与客户的决策层级天然对齐：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24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层级</w:t>
            </w:r>
          </w:p>
        </w:tc>
        <w:tc>
          <w:tcPr>
            <w:tcW w:type="dxa" w:w="192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决策分身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核心职责</w:t>
            </w:r>
          </w:p>
        </w:tc>
        <w:tc>
          <w:tcPr>
            <w:tcW w:type="dxa" w:w="260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价值落点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产业级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产业决策分身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全球价值链与宏观周期洞察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先于行业看清趋势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行业级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行业洞察分身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对标与行业基准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找准自身坐标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企业级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经营管控分身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驾驶舱与经营决策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实时掌控经营全局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专业级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岗位执行分身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设备 / 工艺 / 质量执行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直达现场与设备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 w:val="0"/>
          <w:color w:val="0F172A"/>
          <w:sz w:val="22"/>
        </w:rPr>
        <w:t>成熟度阶梯：L0 观察 → L1 判断 → L2 预案 → L3 授权执行。当前大多数场景处于 L0–L2，对外不承诺 L3——分身提供判断与预案，最终决策与签署由人终审（人留终审红线）。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护城河：四层框架由同一套知识资产与 Agent 贯通，支持跨层下钻，而非孤立的工具集合。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四、造船十类智能体矩阵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行业成为数据驱动的一等公民：智能体的名称、场景与设备类型随行业 manifest 自动切换。面向造船业务域，智衍落地十类智能体——其中「造船生产排产 Agent（aps_scheduler 造船感知）」已在平台代码内落地并验证，将排产从离散制造逻辑升级为懂造船约束的实时决策：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24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业务域</w:t>
            </w:r>
          </w:p>
        </w:tc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智能体</w:t>
            </w:r>
          </w:p>
        </w:tc>
        <w:tc>
          <w:tcPr>
            <w:tcW w:type="dxa" w:w="51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核心能力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设备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设备健康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健康诊断、预测维护建议、关键部件寿命管理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装配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分段装配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分段合拢进度、节拍与资源协同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涂装焊接缺陷判定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缺陷误报过滤、阈值优化、复判工时节省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一次合格率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报验合格率趋势、缺陷分类、设备-质量根因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质量追溯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跨工序质量问题归因与闭环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工艺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可建造性检查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焊接可达性 / 精度 / 安全规则自动审查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研发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新船型导入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全生命周期里程碑、风险识别、批量试产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标准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船级社标准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IACS / CCS / LR / DNV / ABS 规范辅助查询与判定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研发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设计变更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受影响 BOM / 在制 / 库存 / 工序识别 + 协同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排产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造船生产排产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船坞窗口闸门 / 托盘齐套 / 多船并行 / 节拍 / What-if（已落地）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五、生产排产决策深化：突破造船核心瓶颈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通用 APS / MES 在船厂「水土不服」，根因不在算力，而在它照搬离散制造逻辑，不懂造船特有的生产约束。智衍的做法不是再做一个排产引擎，而是在既有 ERP / MES 之上叠加一层「懂造船约束的实时决策脑」——把排产从「一次排定」升级为「动态再平衡」，把决策权留在人手里、把判断与预案交给分身。</w:t>
      </w:r>
    </w:p>
    <w:p>
      <w:pPr>
        <w:spacing w:after="80"/>
      </w:pPr>
      <w:r>
        <w:rPr>
          <w:rFonts w:ascii="Microsoft YaHei" w:hAnsi="Microsoft YaHei" w:eastAsia="Microsoft YaHei"/>
          <w:b/>
          <w:color w:val="0B2545"/>
          <w:sz w:val="25"/>
        </w:rPr>
        <w:t>5.1 造船排产五大结构性约束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92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约束维度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造船现场特征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通用 APS / MES 短板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船坞是唯一瓶颈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总段合拢→下水→码头周期，坞期延误沿关键路径连锁放大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把船坞当普通资源，缺关键路径闸门建模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壳舾涂一体化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先行预舾装使舾装前移，串行变并行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照搬串行工序，不懂先行 / 后行语义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托盘齐套耦合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后行窝工约八成源于托盘不齐，而非工人不足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只排工时，不排物料–工序耦合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多项目并行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同一船坞 / 同一批焊工同时服务 3–5 艘不同船型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单项目优化，缺跨船型资源冲突消解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设计变更高频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ECN 频繁，计划脆弱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一次排定，无动态再平衡机制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/>
          <w:color w:val="0B2545"/>
          <w:sz w:val="25"/>
        </w:rPr>
        <w:t>5.2 五类排产决策智能体（已落地为平台能力）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0F172A"/>
          <w:sz w:val="22"/>
        </w:rPr>
        <w:t>与上述约束一一对应，智衍已在造船行业 manifest 内嵌排产决策智能体（aps_scheduler 造船感知模式），由既有设备 / 质量 / 变更类智能体提供事实底座，不重复造轮子。该模式已在平台代码内实现并验证：命中「船坞 / 托盘齐套 / 合拢 / 坞期 / 节拍」等语义即自动切换为造船排产分析，输出五类干预洞察（见下方表格），全部人留终审、不代签计划。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04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排产智能体</w:t>
            </w:r>
          </w:p>
        </w:tc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输入</w:t>
            </w:r>
          </w:p>
        </w:tc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输出 / 决策支撑</w:t>
            </w:r>
          </w:p>
        </w:tc>
        <w:tc>
          <w:tcPr>
            <w:tcW w:type="dxa" w:w="158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价值落点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多项目负荷均衡 Agent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MES 工单进度 + 设备 OEE + 工种排班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跨船型资源冲突清单与再平衡建议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焊工 / 船坞 / 场地利用率提升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船坞就绪度预测 Agent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分段完成度 + 托盘齐套率 + 涂装状态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下水时点预测与偏差预警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坞期延误前置拦截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托盘齐套预警 Agent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物料到货 + BOM + 工序计划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后行窝工前置预警与齐套倒计时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后行作业平滑、减少等待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节拍偏离监控 Agent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节拍化目标 + 实际节拍数据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节拍偏离度与根因归因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对标节拍化流水生产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What-if 排产推演 Agent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多套排产假设 + 约束参数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改优先级→总坞期连锁影响推演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方案比选、人留终审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/>
          <w:color w:val="0B2545"/>
          <w:sz w:val="25"/>
        </w:rPr>
        <w:t>5.3 决策看板三件套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看板组件</w:t>
            </w:r>
          </w:p>
        </w:tc>
        <w:tc>
          <w:tcPr>
            <w:tcW w:type="dxa" w:w="5216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呈现内容</w:t>
            </w:r>
          </w:p>
        </w:tc>
        <w:tc>
          <w:tcPr>
            <w:tcW w:type="dxa" w:w="170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服务对象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船坞甘特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多船型船坞占用窗口 + 关键路径高亮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经营管控者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负荷热力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各车间 / 工种 / 设备实时负荷与峰谷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生产调度主管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就绪度仪表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单船下水分段完成 / 托盘 / 涂装就绪度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项目与采购负责人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/>
          <w:color w:val="0B2545"/>
          <w:sz w:val="25"/>
        </w:rPr>
        <w:t>5.4 匿名标杆测算框架（示意）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26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指标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接入前（行业经验基准）</w:t>
            </w:r>
          </w:p>
        </w:tc>
        <w:tc>
          <w:tcPr>
            <w:tcW w:type="dxa" w:w="306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目标（以试点实测校验）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船坞窗口利用率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依赖人工排程，窗口易冲突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↑ 可量化提升（待试点实测）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后行窝工等待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托盘不齐致频繁等待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↓ 齐套预警前置拦截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计划变更响应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按周人工重排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实时动态再平衡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0"/>
        </w:rPr>
        <w:t>注：上述数值为指标框架示意，正式口径以试点实测数据与双方约定为准，本方案不作任何业绩承诺。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六、三类核心能力抓手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① 设备健康与预测维护：覆盖造船关键设备（船坞 / 龙门吊 / 焊接机器人 / 数控板材 / 喷砂涂装线 / 船用柴油机），事件流经 UNS 实时上屏，异常自动预警。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② 质量与工艺：一次合格率 Agent 串联船体报验合格率趋势、缺陷分类与设备-质量关联根因；涂装 / 焊接缺陷判定 Agent 降低误报与复判工时；可建造性检查 Agent 把合规审查前置。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③ 研发与船级社标准：新船型导入 Agent 管理全生命周期风险；船级社标准 Agent 把「翻规范」升级为「对话即得答案」；设计变更 Agent 量化变更影响并驱动跨部门协同。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「一次合格率」是造船质量的生命线指标——智衍的目标是从被动报验走向主动预防。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七、技术架构：数字孪生五要素 + 行业 manifest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智衍以「数字孪生五要素」为底座，构成可验证的决策闭环：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要素</w:t>
            </w:r>
          </w:p>
        </w:tc>
        <w:tc>
          <w:tcPr>
            <w:tcW w:type="dxa" w:w="691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OGG 几何内核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统一几何与拓扑真相源，支撑设备与船体结构孪生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Agent 智能层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十类行业智能体驱动的实时判断与预案（含造船生产排产）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实时数据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UNS 事件流持续接入，全要素实时在线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CAE 仿真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工艺与结构虚拟验证，降低试错成本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验证闭环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结论回流资产层，持续自我进化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行业 = manifest（设备表 / 触发词 / 智能体覆盖）。新增行业只丢一个 JSON，零代码改动——这是智衍「数据驱动、不堆代码」的核心设计。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八、行业验证与标杆实践（匿名）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我们已与 3+ 家头部造船集团建立接触，覆盖三类典型形态，并沿「培训赋能 → 业务接触 → 试点进阶」路径系统化沉淀行业认知：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客户形态（匿名）</w:t>
            </w:r>
          </w:p>
        </w:tc>
        <w:tc>
          <w:tcPr>
            <w:tcW w:type="dxa" w:w="1474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合作阶段</w:t>
            </w:r>
          </w:p>
        </w:tc>
        <w:tc>
          <w:tcPr>
            <w:tcW w:type="dxa" w:w="4876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聚焦场景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某大型造船集团（演示租户）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试点中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7 台关键设备点亮 + UNS 实时事件流上线，决策实时化率作为北极星被持续度量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某邮轮与散货船建造龙头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接触中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专项培训与业务场景接触，聚焦设备健康与质量一次合格率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某液化气船与高端船舶建造龙头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培训中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管理层培训与智能船厂蓝图探讨，聚焦研发与船级社标准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演示租户成效：从「看报表」升级为「实时看板 + 预警 + 预案」，经营管控者第一次拥有可对话的决策分身。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九、共性痛点与差异化试点场景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三家接触船厂虽形态各异，但共性痛点高度一致；同时基于各自业务重心，差异化试点切入点清晰：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36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维度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共性痛点</w:t>
            </w:r>
          </w:p>
        </w:tc>
        <w:tc>
          <w:tcPr>
            <w:tcW w:type="dxa" w:w="442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差异化试点场景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设备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大型专用设备停机损失高、运维靠经验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演示租户已点亮 7 台；邮轮/散货船龙头优先设备健康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一次合格率低、缺陷归因链条长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全员聚焦一次合格率；涂装/焊接缺陷判定优先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研发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新船型与规范查询效率低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液化气船/高端船舶龙头优先研发与船级社标准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协同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跨专业数据割裂、变更影响难量化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设计变更 Agent 统一量化变更影响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排产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船坞瓶颈 + 托盘不齐 + 多船并行冲突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五类排产 Agent 统一消解（见第五章）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十、合作进阶路径：G 模式三圈解锁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智衍采用 G 模式三圈解锁，由浅入深、零风险起步，逐步迈向智能体深度合作：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90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圈层</w:t>
            </w:r>
          </w:p>
        </w:tc>
        <w:tc>
          <w:tcPr>
            <w:tcW w:type="dxa" w:w="158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合作模式</w:t>
            </w:r>
          </w:p>
        </w:tc>
        <w:tc>
          <w:tcPr>
            <w:tcW w:type="dxa" w:w="4989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交付内容</w:t>
            </w:r>
          </w:p>
        </w:tc>
        <w:tc>
          <w:tcPr>
            <w:tcW w:type="dxa" w:w="170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集成要求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外圈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免费体验</w:t>
            </w:r>
          </w:p>
        </w:tc>
        <w:tc>
          <w:tcPr>
            <w:tcW w:type="dxa" w:w="4989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注册即入职，零集成获得行业洞察与决策分身预生成（TTFV &lt; 60s）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零集成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中圈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接 1 源</w:t>
            </w:r>
          </w:p>
        </w:tc>
        <w:tc>
          <w:tcPr>
            <w:tcW w:type="dxa" w:w="4989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接入 1 路数据源（设备 / 质量 / 工艺任一），实时看板 + 预警 + 预案上线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接 1 路数据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内圈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私有化</w:t>
            </w:r>
          </w:p>
        </w:tc>
        <w:tc>
          <w:tcPr>
            <w:tcW w:type="dxa" w:w="4989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数据本地化部署 + 全量智能体 + 行业知识资产沉淀，决策实时化率稳态达标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私有化部署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十一、北极星指标：决策实时化率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我们用「决策实时化率」衡量价值落地，而非传统签单口径——它直接反映经营管控者从「看报表」走向「实时决策」的比例：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04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阶段</w:t>
            </w:r>
          </w:p>
        </w:tc>
        <w:tc>
          <w:tcPr>
            <w:tcW w:type="dxa" w:w="226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决策实时化率</w:t>
            </w:r>
          </w:p>
        </w:tc>
        <w:tc>
          <w:tcPr>
            <w:tcW w:type="dxa" w:w="4876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含义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MVP 试点期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≥ 40%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核心场景实时看板 + 预警 + 预案可用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稳态运营期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≥ 85%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全量经营决策由分身实时支撑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十二、试点建议与落地下一步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建议分三步推进，降低决策风险、快速验证价值：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第一步（0–4 周）：以「设备健康 + 质量一次合格率」双场景切入试点，接入 1 路数据源，跑通实时看板与预警。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第二步（1–3 月）：扩展至研发与船级社标准，沉淀行业知识资产，决策实时化率冲刺 40%。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第三步（3–6 月）：评估私有化部署，全量智能体上线，决策实时化率向 85% 稳态演进。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排产深化可作为第二步的「高价值增量」：在设备与质量数据打通后，顺势接入 MES 工单与物料到货，即可点亮五类排产 Agent 与决策看板（详见第五章）。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开户方式（双模）：① 名片即开户——口述公司名 / 网址即启动；② 表单注册——公司名 + 网站 + 选行业；③ 事件二维码——现场扫码即开启个性化战略。注册即入职，首屏预生成企业画像与洞察（TTFV &lt; 60s）。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十三、零真名铁律声明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本方案书对外版本严格执行零真名铁律：客户以「某大型造船集团 / 某邮轮与散货船建造龙头 / 某液化气船与高端船舶建造龙头」等形态匿名呈现，不点名、不暴露商业关系；真实主体仅限内部视图，未经授权不向任何第三方披露。</w:t>
      </w:r>
    </w:p>
    <w:p/>
    <w:p>
      <w:pPr>
        <w:spacing w:after="120"/>
      </w:pPr>
      <w:r>
        <w:rPr>
          <w:rFonts w:ascii="Microsoft YaHei" w:hAnsi="Microsoft YaHei" w:eastAsia="Microsoft YaHei"/>
          <w:b/>
          <w:color w:val="0F172A"/>
          <w:sz w:val="22"/>
        </w:rPr>
        <w:t>联系人：杜玉河（工业 5 点 0 产业生态联盟）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体验入口：demo / EvolvIQ2026（公开演示账号）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