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80"/>
        </w:rPr>
      </w:r>
    </w:p>
    <w:p>
      <w:pPr>
        <w:jc w:val="center"/>
      </w:pPr>
      <w:r>
        <w:rPr>
          <w:rFonts w:ascii="Microsoft YaHei" w:hAnsi="Microsoft YaHei" w:eastAsia="Microsoft YaHei"/>
          <w:b/>
          <w:color w:val="0B2545"/>
          <w:sz w:val="80"/>
        </w:rPr>
        <w:t>智衍 EvolvIQ</w:t>
      </w:r>
    </w:p>
    <w:p>
      <w:pPr>
        <w:jc w:val="center"/>
      </w:pPr>
      <w:r>
        <w:rPr>
          <w:rFonts w:ascii="Microsoft YaHei" w:hAnsi="Microsoft YaHei" w:eastAsia="Microsoft YaHei"/>
          <w:b/>
          <w:color w:val="2563EB"/>
          <w:sz w:val="52"/>
        </w:rPr>
        <w:t>造船行业智能体合作方案书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8"/>
        </w:rPr>
        <w:t>工业 AI 决策大脑 · 让每艘船拥有可对话的决策分身</w:t>
      </w:r>
    </w:p>
    <w:p>
      <w:r>
        <w:rPr>
          <w:sz w:val="60"/>
        </w:rPr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6"/>
        </w:rPr>
        <w:t>杜玉河 · 工业 5 点 0 产业生态联盟</w:t>
      </w:r>
    </w:p>
    <w:p>
      <w:pPr>
        <w:jc w:val="center"/>
      </w:pPr>
      <w:r>
        <w:rPr>
          <w:rFonts w:ascii="Microsoft YaHei" w:hAnsi="Microsoft YaHei" w:eastAsia="Microsoft YaHei"/>
          <w:color w:val="475569"/>
          <w:sz w:val="24"/>
        </w:rPr>
        <w:t>2026 年 10 月</w:t>
      </w:r>
    </w:p>
    <w:p>
      <w:r>
        <w:br w:type="page"/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一、背景与目的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中国造船业连续多年位居全球前列，但在「多品种、小批量、长周期」的项目制模式下，经营管控者长期面对进度、成本、质量、设备、研发多源信息割裂的困境：决策依赖经验、响应滞后、归因困难。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 EvolvIQ 是一套面向工业的 AI 决策平台，以「工业 AI 决策分身」为核心，在客户既有的 ERP / MES 之上叠加实时决策脑与全息真相源，而非推倒重来。本方案书系统梳理造船行业的痛点、智衍的能力矩阵与合作进阶路径，作为与造船企业系统化交流、迈向智能体深度合作的共同基线。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475569"/>
          <w:sz w:val="21"/>
        </w:rPr>
        <w:t>说明：出于零真名铁律，本方案书中涉及的客户均作匿名化处理，真实主体仅限内部视图，不对第三方披露。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二、造船行业的决策痛点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基于与多家头部造船集团（含演示租户与培训接触客户）的交流，造船企业的决策瓶颈高度集中在以下四类：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#</w:t>
            </w:r>
          </w:p>
        </w:tc>
        <w:tc>
          <w:tcPr>
            <w:tcW w:type="dxa" w:w="238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决策痛点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典型表现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1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多品种·小批量·长周期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一艘船即一个定制项目，分段、舾装、调试跨数月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进度、资源、成本难以实时掌控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大型专用设备多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龙门吊、焊接机器人、船坞、船用柴油机停机损失高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运维依赖老师傅经验，故障被动救火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船体报验环节多，缺陷归因链条长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返工代价巨大，质量成本不可控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4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跨专业协同复杂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设计、工艺、生产、质量数据割裂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变更影响难量化，协同成本高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三、智衍定位：工业 AI 决策分身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智衍不替代企业的 ERP / MES，而是在其之上叠加「实时决策脑 + 全息真相源」。其能力以四层决策分身框架组织，与客户的决策层级天然对齐：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层级</w:t>
            </w:r>
          </w:p>
        </w:tc>
        <w:tc>
          <w:tcPr>
            <w:tcW w:type="dxa" w:w="192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决策分身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核心职责</w:t>
            </w:r>
          </w:p>
        </w:tc>
        <w:tc>
          <w:tcPr>
            <w:tcW w:type="dxa" w:w="260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价值落点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产业决策分身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全球价值链与宏观周期洞察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先于行业看清趋势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行业洞察分身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对标与行业基准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找准自身坐标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企业级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经营管控分身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驾驶舱与经营决策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实时掌控经营全局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专业级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岗位执行分身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 / 工艺 / 质量执行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直达现场与设备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 w:val="0"/>
          <w:color w:val="0F172A"/>
          <w:sz w:val="22"/>
        </w:rPr>
        <w:t>成熟度阶梯：L0 观察 → L1 判断 → L2 预案 → L3 授权执行。当前大多数场景处于 L0–L2，对外不承诺 L3——分身提供判断与预案，最终决策与签署由人终审（人留终审红线）。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护城河：四层框架由同一套知识资产与 Agent 贯通，支持跨层下钻，而非孤立的工具集合。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四、造船九类智能体矩阵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行业成为数据驱动的一等公民：智能体的名称、场景与设备类型随行业 manifest 自动切换。面向造船业务域，智衍落地九类智能体：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24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业务域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智能体</w:t>
            </w:r>
          </w:p>
        </w:tc>
        <w:tc>
          <w:tcPr>
            <w:tcW w:type="dxa" w:w="51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核心能力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设备健康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健康诊断、预测维护建议、关键部件寿命管理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装配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分段装配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分段合拢进度、节拍与资源协同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涂装焊接缺陷判定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缺陷误报过滤、阈值优化、复判工时节省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报验合格率趋势、缺陷分类、设备-质量根因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质量追溯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跨工序质量问题归因与闭环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可建造性检查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焊接可达性 / 精度 / 安全规则自动审查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新船型导入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全生命周期里程碑、风险识别、批量试产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标准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船级社标准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IACS / CCS / LR / DNV / ABS 规范辅助查询与判定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受影响 BOM / 在制 / 库存 / 工序识别 + 协同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五、生产排产决策深化：突破造船核心瓶颈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通用 APS / MES 在船厂「水土不服」，根因不在算力，而在它照搬离散制造逻辑，不懂造船特有的生产约束。智衍的做法不是再做一个排产引擎，而是在既有 ERP / MES 之上叠加一层「懂造船约束的实时决策脑」——把排产从「一次排定」升级为「动态再平衡」，把决策权留在人手里、把判断与预案交给分身。</w:t>
      </w:r>
    </w:p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5.1 造船排产五大结构性约束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2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约束维度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造船现场特征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通用 APS / MES 短板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船坞是唯一瓶颈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总段合拢→下水→码头周期，坞期延误沿关键路径连锁放大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把船坞当普通资源，缺关键路径闸门建模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壳舾涂一体化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先行预舾装使舾装前移，串行变并行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照搬串行工序，不懂先行 / 后行语义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托盘齐套耦合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后行窝工约八成源于托盘不齐，而非工人不足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只排工时，不排物料–工序耦合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多项目并行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同一船坞 / 同一批焊工同时服务 3–5 艘不同船型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单项目优化，缺跨船型资源冲突消解</w:t>
            </w:r>
          </w:p>
        </w:tc>
      </w:tr>
      <w:tr>
        <w:tc>
          <w:tcPr>
            <w:tcW w:type="dxa" w:w="192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设计变更高频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ECN 频繁，计划脆弱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一次排定，无动态再平衡机制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5.2 五类排产决策智能体</w:t>
      </w:r>
    </w:p>
    <w:p>
      <w:pPr>
        <w:spacing w:after="80"/>
      </w:pPr>
      <w:r>
        <w:rPr>
          <w:rFonts w:ascii="Microsoft YaHei" w:hAnsi="Microsoft YaHei" w:eastAsia="Microsoft YaHei"/>
          <w:b w:val="0"/>
          <w:color w:val="0F172A"/>
          <w:sz w:val="22"/>
        </w:rPr>
        <w:t>与上述约束一一对应，智衍在造船行业 manifest 内嵌五类排产决策智能体，由既有九类智能体提供事实底座（设备健康、一次合格率、设计变更等），不重复造轮子：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04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排产智能体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输入</w:t>
            </w:r>
          </w:p>
        </w:tc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输出 / 决策支撑</w:t>
            </w:r>
          </w:p>
        </w:tc>
        <w:tc>
          <w:tcPr>
            <w:tcW w:type="dxa" w:w="158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价值落点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多项目负荷均衡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MES 工单进度 + 设备 OEE + 工种排班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跨船型资源冲突清单与再平衡建议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焊工 / 船坞 / 场地利用率提升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船坞就绪度预测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分段完成度 + 托盘齐套率 + 涂装状态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下水时点预测与偏差预警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坞期延误前置拦截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托盘齐套预警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物料到货 + BOM + 工序计划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后行窝工前置预警与齐套倒计时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后行作业平滑、减少等待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节拍偏离监控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节拍化目标 + 实际节拍数据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节拍偏离度与根因归因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对标节拍化流水生产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What-if 排产推演 Agent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多套排产假设 + 约束参数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改优先级→总坞期连锁影响推演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方案比选、人留终审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5.3 决策看板三件套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看板组件</w:t>
            </w:r>
          </w:p>
        </w:tc>
        <w:tc>
          <w:tcPr>
            <w:tcW w:type="dxa" w:w="521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呈现内容</w:t>
            </w:r>
          </w:p>
        </w:tc>
        <w:tc>
          <w:tcPr>
            <w:tcW w:type="dxa" w:w="170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服务对象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船坞甘特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多船型船坞占用窗口 + 关键路径高亮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经营管控者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负荷热力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各车间 / 工种 / 设备实时负荷与峰谷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生产调度主管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就绪度仪表</w:t>
            </w:r>
          </w:p>
        </w:tc>
        <w:tc>
          <w:tcPr>
            <w:tcW w:type="dxa" w:w="521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单船下水分段完成 / 托盘 / 涂装就绪度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项目与采购负责人</w:t>
            </w:r>
          </w:p>
        </w:tc>
      </w:tr>
    </w:tbl>
    <w:p>
      <w:pPr>
        <w:spacing w:after="80"/>
      </w:pPr>
      <w:r>
        <w:rPr>
          <w:rFonts w:ascii="Microsoft YaHei" w:hAnsi="Microsoft YaHei" w:eastAsia="Microsoft YaHei"/>
          <w:b/>
          <w:color w:val="0B2545"/>
          <w:sz w:val="25"/>
        </w:rPr>
        <w:t>5.4 匿名标杆测算框架（示意）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接入前（行业经验基准）</w:t>
            </w:r>
          </w:p>
        </w:tc>
        <w:tc>
          <w:tcPr>
            <w:tcW w:type="dxa" w:w="306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目标（以试点实测校验）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船坞窗口利用率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依赖人工排程，窗口易冲突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↑ 可量化提升（待试点实测）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后行窝工等待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托盘不齐致频繁等待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↓ 齐套预警前置拦截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计划变更响应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按周人工重排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实时动态再平衡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0"/>
        </w:rPr>
        <w:t>注：上述数值为指标框架示意，正式口径以试点实测数据与双方约定为准，本方案不作任何业绩承诺。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六、三类核心能力抓手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① 设备健康与预测维护：覆盖造船关键设备（船坞 / 龙门吊 / 焊接机器人 / 数控板材 / 喷砂涂装线 / 船用柴油机），事件流经 UNS 实时上屏，异常自动预警。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② 质量与工艺：一次合格率 Agent 串联船体报验合格率趋势、缺陷分类与设备-质量关联根因；涂装 / 焊接缺陷判定 Agent 降低误报与复判工时；可建造性检查 Agent 把合规审查前置。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③ 研发与船级社标准：新船型导入 Agent 管理全生命周期风险；船级社标准 Agent 把「翻规范」升级为「对话即得答案」；设计变更 Agent 量化变更影响并驱动跨部门协同。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「一次合格率」是造船质量的生命线指标——智衍的目标是从被动报验走向主动预防。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七、技术架构：数字孪生五要素 + 行业 manifest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智衍以「数字孪生五要素」为底座，构成可验证的决策闭环：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要素</w:t>
            </w:r>
          </w:p>
        </w:tc>
        <w:tc>
          <w:tcPr>
            <w:tcW w:type="dxa" w:w="691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OGG 几何内核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统一几何与拓扑真相源，支撑设备与船体结构孪生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Agent 智能层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九类行业智能体驱动的实时判断与预案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实时数据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UNS 事件流持续接入，全要素实时在线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CAE 仿真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工艺与结构虚拟验证，降低试错成本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验证闭环</w:t>
            </w:r>
          </w:p>
        </w:tc>
        <w:tc>
          <w:tcPr>
            <w:tcW w:type="dxa" w:w="691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结论回流资产层，持续自我进化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行业 = manifest（设备表 / 触发词 / 智能体覆盖）。新增行业只丢一个 JSON，零代码改动——这是智衍「数据驱动、不堆代码」的核心设计。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八、行业验证与标杆实践（匿名）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我们已与 3+ 家头部造船集团建立接触，覆盖三类典型形态，并沿「培训赋能 → 业务接触 → 试点进阶」路径系统化沉淀行业认知：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835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客户形态（匿名）</w:t>
            </w:r>
          </w:p>
        </w:tc>
        <w:tc>
          <w:tcPr>
            <w:tcW w:type="dxa" w:w="1474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合作阶段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聚焦场景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某大型造船集团（演示租户）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试点中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7 台关键设备点亮 + UNS 实时事件流上线，决策实时化率作为北极星被持续度量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某邮轮与散货船建造龙头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接触中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专项培训与业务场景接触，聚焦设备健康与质量一次合格率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某液化气船与高端船舶建造龙头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培训中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管理层培训与智能船厂蓝图探讨，聚焦研发与船级社标准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演示租户成效：从「看报表」升级为「实时看板 + 预警 + 预案」，经营管控者第一次拥有可对话的决策分身。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九、共性痛点与差异化试点场景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三家接触船厂虽形态各异，但共性痛点高度一致；同时基于各自业务重心，差异化试点切入点清晰：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36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340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共性痛点</w:t>
            </w:r>
          </w:p>
        </w:tc>
        <w:tc>
          <w:tcPr>
            <w:tcW w:type="dxa" w:w="4422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差异化试点场景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设备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大型专用设备停机损失高、运维靠经验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演示租户已点亮 7 台；邮轮/散货船龙头优先设备健康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质量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一次合格率低、缺陷归因链条长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全员聚焦一次合格率；涂装/焊接缺陷判定优先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研发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新船型与规范查询效率低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液化气船/高端船舶龙头优先研发与船级社标准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协同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跨专业数据割裂、变更影响难量化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设计变更 Agent 统一量化变更影响</w:t>
            </w:r>
          </w:p>
        </w:tc>
      </w:tr>
      <w:tr>
        <w:tc>
          <w:tcPr>
            <w:tcW w:type="dxa" w:w="136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排产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船坞瓶颈 + 托盘不齐 + 多船并行冲突</w:t>
            </w:r>
          </w:p>
        </w:tc>
        <w:tc>
          <w:tcPr>
            <w:tcW w:type="dxa" w:w="44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五类排产 Agent 统一消解（见第五章）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十、合作进阶路径：G 模式三圈解锁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智衍采用 G 模式三圈解锁，由浅入深、零风险起步，逐步迈向智能体深度合作：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90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圈层</w:t>
            </w:r>
          </w:p>
        </w:tc>
        <w:tc>
          <w:tcPr>
            <w:tcW w:type="dxa" w:w="1587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合作模式</w:t>
            </w:r>
          </w:p>
        </w:tc>
        <w:tc>
          <w:tcPr>
            <w:tcW w:type="dxa" w:w="4989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交付内容</w:t>
            </w:r>
          </w:p>
        </w:tc>
        <w:tc>
          <w:tcPr>
            <w:tcW w:type="dxa" w:w="170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集成要求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外圈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免费体验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注册即入职，零集成获得行业洞察与决策分身预生成（TTFV &lt; 60s）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零集成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中圈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源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接入 1 路数据源（设备 / 质量 / 工艺任一），实时看板 + 预警 + 预案上线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接 1 路数据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内圈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</w:t>
            </w:r>
          </w:p>
        </w:tc>
        <w:tc>
          <w:tcPr>
            <w:tcW w:type="dxa" w:w="4989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数据本地化部署 + 全量智能体 + 行业知识资产沉淀，决策实时化率稳态达标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私有化部署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十一、北极星指标：决策实时化率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我们用「决策实时化率」衡量价值落地，而非传统签单口径——它直接反映经营管控者从「看报表」走向「实时决策」的比例：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041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阶段</w:t>
            </w:r>
          </w:p>
        </w:tc>
        <w:tc>
          <w:tcPr>
            <w:tcW w:type="dxa" w:w="2268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决策实时化率</w:t>
            </w:r>
          </w:p>
        </w:tc>
        <w:tc>
          <w:tcPr>
            <w:tcW w:type="dxa" w:w="4876"/>
            <w:shd w:val="clear" w:color="auto" w:fill="0B2545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MVP 试点期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40%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核心场景实时看板 + 预警 + 预案可用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0B2545"/>
                <w:sz w:val="21"/>
              </w:rPr>
            </w:r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稳态运营期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≥ 85%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F172A"/>
                <w:sz w:val="21"/>
              </w:rPr>
              <w:t>全量经营决策由分身实时支撑</w:t>
            </w:r>
          </w:p>
        </w:tc>
      </w:tr>
    </w:tbl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十二、试点建议与落地下一步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建议分三步推进，降低决策风险、快速验证价值：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第一步（0–4 周）：以「设备健康 + 质量一次合格率」双场景切入试点，接入 1 路数据源，跑通实时看板与预警。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第二步（1–3 月）：扩展至研发与船级社标准，沉淀行业知识资产，决策实时化率冲刺 40%。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0F172A"/>
          <w:sz w:val="22"/>
        </w:rPr>
        <w:t>第三步（3–6 月）：评估私有化部署，全量智能体上线，决策实时化率向 85% 稳态演进。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排产深化可作为第二步的「高价值增量」：在设备与质量数据打通后，顺势接入 MES 工单与物料到货，即可点亮五类排产 Agent 与决策看板（详见第五章）。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开户方式（双模）：① 名片即开户——口述公司名 / 网址即启动；② 表单注册——公司名 + 网站 + 选行业；③ 事件二维码——现场扫码即开启个性化战略。注册即入职，首屏预生成企业画像与洞察（TTFV &lt; 60s）。</w:t>
      </w:r>
    </w:p>
    <w:p>
      <w:pPr>
        <w:spacing w:before="120" w:after="160"/>
        <w:pBdr>
          <w:left w:val="single" w:sz="24" w:space="6" w:color="2563EB"/>
        </w:pBdr>
      </w:pPr>
      <w:r>
        <w:rPr>
          <w:rFonts w:ascii="Microsoft YaHei" w:hAnsi="Microsoft YaHei" w:eastAsia="Microsoft YaHei"/>
          <w:b/>
          <w:color w:val="0B2545"/>
          <w:sz w:val="30"/>
        </w:rPr>
        <w:t>十三、零真名铁律声明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475569"/>
          <w:sz w:val="21"/>
        </w:rPr>
        <w:t>本方案书对外版本严格执行零真名铁律：客户以「某大型造船集团 / 某邮轮与散货船建造龙头 / 某液化气船与高端船舶建造龙头」等形态匿名呈现，不点名、不暴露商业关系；真实主体仅限内部视图，未经授权不向任何第三方披露。</w:t>
      </w:r>
    </w:p>
    <w:p/>
    <w:p>
      <w:pPr>
        <w:spacing w:after="120"/>
      </w:pPr>
      <w:r>
        <w:rPr>
          <w:rFonts w:ascii="Microsoft YaHei" w:hAnsi="Microsoft YaHei" w:eastAsia="Microsoft YaHei"/>
          <w:b/>
          <w:color w:val="0F172A"/>
          <w:sz w:val="22"/>
        </w:rPr>
        <w:t>联系人：杜玉河（工业 5 点 0 产业生态联盟）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0F172A"/>
          <w:sz w:val="22"/>
        </w:rPr>
        <w:t>体验入口：demo / EvolvIQ2026（公开演示账号）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