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FED3DF" w14:textId="77777777" w:rsidR="00ED6BE8" w:rsidRDefault="00000000">
      <w:pPr>
        <w:spacing w:after="120" w:line="480" w:lineRule="auto"/>
      </w:pPr>
      <w:r>
        <w:rPr>
          <w:b/>
        </w:rPr>
        <w:t>Justification for the development methodology with supporting literature.</w:t>
      </w:r>
    </w:p>
    <w:p w14:paraId="1312FFA3" w14:textId="64C03A74" w:rsidR="00ED6BE8" w:rsidRDefault="00000000" w:rsidP="00546482">
      <w:pPr>
        <w:pStyle w:val="AcademicBody"/>
        <w:jc w:val="both"/>
      </w:pPr>
      <w:r>
        <w:t>An architecture-first, design-oriented prototyping methodology is proposed for an agnostic Academic Research Agent system. Instead of Agile ceremonies or customer-driven iterations, the methodology defines the research problem, requirements, agent responsibilities, interfaces, data flows and evaluation criteria before implementation. This aligns with design science, where an information system is developed as an artefact to address an identified problem and evaluated against its objectives (Peffers et al., 2007). The four-agent structure</w:t>
      </w:r>
      <w:r w:rsidR="00546482">
        <w:t xml:space="preserve">; </w:t>
      </w:r>
      <w:r>
        <w:t>Planning, Retrieval, Processing and Storage</w:t>
      </w:r>
      <w:r w:rsidR="00546482">
        <w:t xml:space="preserve"> </w:t>
      </w:r>
      <w:r>
        <w:t>reflects Wooldridge’s (2009) view of multi-agent systems as autonomous, interacting components. Explicit state transitions and bounded retries constrain uncertainty in agent behaviour (Russell and Norvig, 2021), while Sami et al. (2024) demonstrate the feasibility of multi-agent architectures for systematic literature review.</w:t>
      </w:r>
    </w:p>
    <w:p w14:paraId="5AE5B9B9" w14:textId="77777777" w:rsidR="00ED6BE8" w:rsidRDefault="00000000">
      <w:pPr>
        <w:spacing w:after="120" w:line="480" w:lineRule="auto"/>
      </w:pPr>
      <w:r>
        <w:rPr>
          <w:b/>
        </w:rPr>
        <w:t>Tools, Frameworks, APIs, Models, and Environment</w:t>
      </w:r>
    </w:p>
    <w:p w14:paraId="3A12E02C" w14:textId="10A3D0E2" w:rsidR="00ED6BE8" w:rsidRDefault="00000000" w:rsidP="00546482">
      <w:pPr>
        <w:pStyle w:val="AcademicBody"/>
        <w:jc w:val="both"/>
      </w:pPr>
      <w:r>
        <w:t>The system is designed as a modular Python application. Agent interactions use explicit workflow states and JSON for data exchange and persistence. LangGraph provides graph-based orchestration for stateful agent workflows (LangChain, n.d.), while Pydantic supports schema validation of exchanged data (Pydantic, n.d.). HTTPX provides asynchronous HTTP communication and Tenacity implements retries and back-off for transient failures (Encode, n.d.; Tenacity, n.d.). The retrieval layer will integrate arXiv, OpenAlex and CORE. OpenAlex provides a scholarly knowledge graph, while CORE aggregates open-access research outputs (Priem, Piwowar and Orr, 2022; Knoth and Zdrahal, 2012). Records will be normali</w:t>
      </w:r>
      <w:r w:rsidR="00A75FA3">
        <w:t>z</w:t>
      </w:r>
      <w:r>
        <w:t xml:space="preserve">ed and deduplicated by DOI and title. The LLM layer remains provider-agnostic, supporting Mistral or Qwen through local </w:t>
      </w:r>
      <w:r>
        <w:lastRenderedPageBreak/>
        <w:t>or hosted interfaces. Deterministic rules govern filtering and ranking; Pytest, mocked API responses and relevance-labelled queries evaluate accuracy, resilience and reproducibility.</w:t>
      </w:r>
    </w:p>
    <w:p w14:paraId="7DC9AB16" w14:textId="77777777" w:rsidR="00ED6BE8" w:rsidRDefault="00000000">
      <w:r>
        <w:br w:type="page"/>
      </w:r>
    </w:p>
    <w:p w14:paraId="3CB56521" w14:textId="7FC985BF" w:rsidR="00ED6BE8" w:rsidRDefault="00000000">
      <w:pPr>
        <w:spacing w:after="120" w:line="480" w:lineRule="auto"/>
      </w:pPr>
      <w:r>
        <w:rPr>
          <w:b/>
        </w:rPr>
        <w:lastRenderedPageBreak/>
        <w:t>References</w:t>
      </w:r>
    </w:p>
    <w:p w14:paraId="208E80F6" w14:textId="028DB409" w:rsidR="00546482" w:rsidRDefault="00546482" w:rsidP="00546482">
      <w:pPr>
        <w:pStyle w:val="pdq2pgselectionanchorcontainer"/>
      </w:pPr>
      <w:r>
        <w:t xml:space="preserve">Encode (n.d.) </w:t>
      </w:r>
      <w:r>
        <w:rPr>
          <w:rStyle w:val="Emphasis"/>
        </w:rPr>
        <w:t>HTTPX: Async support</w:t>
      </w:r>
      <w:r>
        <w:t xml:space="preserve">. Available at: </w:t>
      </w:r>
      <w:hyperlink r:id="rId6" w:history="1">
        <w:r w:rsidR="005E60CB" w:rsidRPr="00A57799">
          <w:rPr>
            <w:rStyle w:val="Hyperlink"/>
          </w:rPr>
          <w:t>https://www.python-httpx.or</w:t>
        </w:r>
        <w:r w:rsidR="005E60CB" w:rsidRPr="00A57799">
          <w:rPr>
            <w:rStyle w:val="Hyperlink"/>
          </w:rPr>
          <w:t>g</w:t>
        </w:r>
        <w:r w:rsidR="005E60CB" w:rsidRPr="00A57799">
          <w:rPr>
            <w:rStyle w:val="Hyperlink"/>
          </w:rPr>
          <w:t>/async/</w:t>
        </w:r>
      </w:hyperlink>
      <w:r w:rsidR="005E60CB">
        <w:t xml:space="preserve"> </w:t>
      </w:r>
      <w:r w:rsidR="005E60CB" w:rsidRPr="005E60CB">
        <w:t xml:space="preserve"> </w:t>
      </w:r>
      <w:r w:rsidR="005E60CB">
        <w:t xml:space="preserve"> </w:t>
      </w:r>
      <w:r>
        <w:t>(Accessed: 20 August 2026).</w:t>
      </w:r>
    </w:p>
    <w:p w14:paraId="15F62467" w14:textId="7968075A" w:rsidR="00546482" w:rsidRDefault="00546482" w:rsidP="00546482">
      <w:pPr>
        <w:pStyle w:val="NormalWeb"/>
      </w:pPr>
      <w:r>
        <w:t xml:space="preserve">Knoth, P. and Zdrahal, Z. (2012) ‘CORE: Three access levels to underpin open access’, </w:t>
      </w:r>
      <w:r>
        <w:rPr>
          <w:rStyle w:val="Emphasis"/>
        </w:rPr>
        <w:t>D-Lib Magazine</w:t>
      </w:r>
      <w:r>
        <w:t xml:space="preserve">, 18(11/12). Available at: </w:t>
      </w:r>
      <w:hyperlink r:id="rId7" w:history="1">
        <w:r w:rsidR="005E60CB" w:rsidRPr="00A57799">
          <w:rPr>
            <w:rStyle w:val="Hyperlink"/>
          </w:rPr>
          <w:t>https://www.dlib.org/d</w:t>
        </w:r>
        <w:r w:rsidR="005E60CB" w:rsidRPr="00A57799">
          <w:rPr>
            <w:rStyle w:val="Hyperlink"/>
          </w:rPr>
          <w:t>l</w:t>
        </w:r>
        <w:r w:rsidR="005E60CB" w:rsidRPr="00A57799">
          <w:rPr>
            <w:rStyle w:val="Hyperlink"/>
          </w:rPr>
          <w:t>ib/november12/knoth/11knoth.html</w:t>
        </w:r>
      </w:hyperlink>
      <w:r w:rsidR="005E60CB">
        <w:t xml:space="preserve">  </w:t>
      </w:r>
      <w:r w:rsidR="005E60CB" w:rsidRPr="005E60CB">
        <w:t xml:space="preserve"> </w:t>
      </w:r>
      <w:r>
        <w:t>(Accessed: 20 August 2026).</w:t>
      </w:r>
    </w:p>
    <w:p w14:paraId="1EDF3E64" w14:textId="025FCA72" w:rsidR="00546482" w:rsidRDefault="00546482" w:rsidP="00546482">
      <w:pPr>
        <w:pStyle w:val="NormalWeb"/>
      </w:pPr>
      <w:r>
        <w:t xml:space="preserve">LangChain (n.d.) </w:t>
      </w:r>
      <w:r>
        <w:rPr>
          <w:rStyle w:val="Emphasis"/>
        </w:rPr>
        <w:t>LangGraph overview</w:t>
      </w:r>
      <w:r>
        <w:t xml:space="preserve">. Available at: </w:t>
      </w:r>
      <w:hyperlink r:id="rId8" w:history="1">
        <w:r w:rsidR="005E60CB" w:rsidRPr="00A57799">
          <w:rPr>
            <w:rStyle w:val="Hyperlink"/>
          </w:rPr>
          <w:t>https://docs.langchain.com/oss/python/langgraph/overv</w:t>
        </w:r>
        <w:r w:rsidR="005E60CB" w:rsidRPr="00A57799">
          <w:rPr>
            <w:rStyle w:val="Hyperlink"/>
          </w:rPr>
          <w:t>i</w:t>
        </w:r>
        <w:r w:rsidR="005E60CB" w:rsidRPr="00A57799">
          <w:rPr>
            <w:rStyle w:val="Hyperlink"/>
          </w:rPr>
          <w:t>ew</w:t>
        </w:r>
      </w:hyperlink>
      <w:r w:rsidR="005E60CB">
        <w:t xml:space="preserve"> </w:t>
      </w:r>
      <w:r>
        <w:t>(Accessed: 20 August 2026).</w:t>
      </w:r>
    </w:p>
    <w:p w14:paraId="756933ED" w14:textId="77777777" w:rsidR="00546482" w:rsidRDefault="00546482" w:rsidP="00546482">
      <w:pPr>
        <w:pStyle w:val="NormalWeb"/>
      </w:pPr>
      <w:r>
        <w:t xml:space="preserve">Peffers, K., Tuunanen, T., Rothenberger, M.A. and Chatterjee, S. (2007) ‘A design science research methodology for information systems research’, </w:t>
      </w:r>
      <w:r>
        <w:rPr>
          <w:rStyle w:val="Emphasis"/>
        </w:rPr>
        <w:t>Journal of Management Information Systems</w:t>
      </w:r>
      <w:r>
        <w:t>, 24(3), pp. 45–77. doi: 10.2753/MIS0742-1222240302.</w:t>
      </w:r>
    </w:p>
    <w:p w14:paraId="5FFA14BD" w14:textId="77777777" w:rsidR="00546482" w:rsidRDefault="00546482" w:rsidP="00546482">
      <w:pPr>
        <w:pStyle w:val="NormalWeb"/>
      </w:pPr>
      <w:r>
        <w:t xml:space="preserve">Priem, J., Piwowar, H. and Orr, R. (2022) ‘OpenAlex: A fully-open index of scholarly works, authors, venues, institutions, and concepts’, </w:t>
      </w:r>
      <w:r>
        <w:rPr>
          <w:rStyle w:val="Emphasis"/>
        </w:rPr>
        <w:t>arXiv</w:t>
      </w:r>
      <w:r>
        <w:t xml:space="preserve"> [Preprint]. Available at: </w:t>
      </w:r>
      <w:hyperlink r:id="rId9" w:tgtFrame="_new" w:history="1">
        <w:r>
          <w:rPr>
            <w:rStyle w:val="Hyperlink"/>
          </w:rPr>
          <w:t>https://doi.org/10.48550/arXiv.220</w:t>
        </w:r>
        <w:r>
          <w:rPr>
            <w:rStyle w:val="Hyperlink"/>
          </w:rPr>
          <w:t>5</w:t>
        </w:r>
        <w:r>
          <w:rPr>
            <w:rStyle w:val="Hyperlink"/>
          </w:rPr>
          <w:t>.0</w:t>
        </w:r>
        <w:r>
          <w:rPr>
            <w:rStyle w:val="Hyperlink"/>
          </w:rPr>
          <w:t>1</w:t>
        </w:r>
        <w:r>
          <w:rPr>
            <w:rStyle w:val="Hyperlink"/>
          </w:rPr>
          <w:t>833</w:t>
        </w:r>
      </w:hyperlink>
      <w:r>
        <w:t xml:space="preserve"> (Accessed: 20 August 2026).</w:t>
      </w:r>
    </w:p>
    <w:p w14:paraId="17FA8A6D" w14:textId="77777777" w:rsidR="00546482" w:rsidRDefault="00546482" w:rsidP="00546482">
      <w:pPr>
        <w:pStyle w:val="NormalWeb"/>
      </w:pPr>
      <w:r>
        <w:t xml:space="preserve">Pydantic (n.d.) </w:t>
      </w:r>
      <w:r>
        <w:rPr>
          <w:rStyle w:val="Emphasis"/>
        </w:rPr>
        <w:t>Pydantic documentation</w:t>
      </w:r>
      <w:r>
        <w:t xml:space="preserve">. Available at: </w:t>
      </w:r>
      <w:hyperlink r:id="rId10" w:tgtFrame="_new" w:history="1">
        <w:r>
          <w:rPr>
            <w:rStyle w:val="Hyperlink"/>
          </w:rPr>
          <w:t>https://</w:t>
        </w:r>
        <w:r>
          <w:rPr>
            <w:rStyle w:val="Hyperlink"/>
          </w:rPr>
          <w:t>d</w:t>
        </w:r>
        <w:r>
          <w:rPr>
            <w:rStyle w:val="Hyperlink"/>
          </w:rPr>
          <w:t>ocs.pydantic.dev/</w:t>
        </w:r>
      </w:hyperlink>
      <w:r>
        <w:t xml:space="preserve"> (Accessed: 20 August 2026).</w:t>
      </w:r>
    </w:p>
    <w:p w14:paraId="019D436E" w14:textId="77777777" w:rsidR="00546482" w:rsidRDefault="00546482" w:rsidP="00546482">
      <w:pPr>
        <w:pStyle w:val="NormalWeb"/>
      </w:pPr>
      <w:r>
        <w:t xml:space="preserve">Russell, S. and Norvig, P. (2021) </w:t>
      </w:r>
      <w:r>
        <w:rPr>
          <w:rStyle w:val="Emphasis"/>
        </w:rPr>
        <w:t>Artificial Intelligence: A Modern Approach</w:t>
      </w:r>
      <w:r>
        <w:t>. 4th edn. Harlow: Pearson.</w:t>
      </w:r>
    </w:p>
    <w:p w14:paraId="09307F8C" w14:textId="77777777" w:rsidR="00546482" w:rsidRDefault="00546482" w:rsidP="00546482">
      <w:pPr>
        <w:pStyle w:val="NormalWeb"/>
      </w:pPr>
      <w:r>
        <w:t xml:space="preserve">Sami, A.M., Rasheed, Z., Waseem, M., Kemell, K.-K., Saari, M., Systä, K., Kilamo, T., Nguyen Duc, A. and Abrahamsson, P. (2024) ‘System for systematic literature review using multiple AI agents: concept and an empirical evaluation’, </w:t>
      </w:r>
      <w:r>
        <w:rPr>
          <w:rStyle w:val="Emphasis"/>
        </w:rPr>
        <w:t>arXiv</w:t>
      </w:r>
      <w:r>
        <w:t xml:space="preserve"> [Preprint]. Available at: </w:t>
      </w:r>
      <w:hyperlink r:id="rId11" w:tgtFrame="_new" w:history="1">
        <w:r>
          <w:rPr>
            <w:rStyle w:val="Hyperlink"/>
          </w:rPr>
          <w:t>https://doi.org/10.48550/arXiv</w:t>
        </w:r>
        <w:r>
          <w:rPr>
            <w:rStyle w:val="Hyperlink"/>
          </w:rPr>
          <w:t>.</w:t>
        </w:r>
        <w:r>
          <w:rPr>
            <w:rStyle w:val="Hyperlink"/>
          </w:rPr>
          <w:t>2403.08399</w:t>
        </w:r>
      </w:hyperlink>
      <w:r>
        <w:t xml:space="preserve"> (Accessed: 10 August 2026).</w:t>
      </w:r>
    </w:p>
    <w:p w14:paraId="2499D443" w14:textId="77777777" w:rsidR="00546482" w:rsidRDefault="00546482" w:rsidP="00546482">
      <w:pPr>
        <w:pStyle w:val="NormalWeb"/>
      </w:pPr>
      <w:r>
        <w:t xml:space="preserve">Tenacity (n.d.) </w:t>
      </w:r>
      <w:r>
        <w:rPr>
          <w:rStyle w:val="Emphasis"/>
        </w:rPr>
        <w:t>Tenacity documentation</w:t>
      </w:r>
      <w:r>
        <w:t xml:space="preserve">. Available at: </w:t>
      </w:r>
      <w:hyperlink r:id="rId12" w:tgtFrame="_new" w:history="1">
        <w:r>
          <w:rPr>
            <w:rStyle w:val="Hyperlink"/>
          </w:rPr>
          <w:t>https://ten</w:t>
        </w:r>
        <w:r>
          <w:rPr>
            <w:rStyle w:val="Hyperlink"/>
          </w:rPr>
          <w:t>a</w:t>
        </w:r>
        <w:r>
          <w:rPr>
            <w:rStyle w:val="Hyperlink"/>
          </w:rPr>
          <w:t>city.readthedocs.io/en/stable/</w:t>
        </w:r>
      </w:hyperlink>
      <w:r>
        <w:t xml:space="preserve"> (Accessed: 20 August 2026).</w:t>
      </w:r>
    </w:p>
    <w:p w14:paraId="3C70C85F" w14:textId="77777777" w:rsidR="00546482" w:rsidRDefault="00546482" w:rsidP="00546482">
      <w:pPr>
        <w:pStyle w:val="NormalWeb"/>
      </w:pPr>
      <w:r>
        <w:t xml:space="preserve">Wooldridge, M.J. (2009) </w:t>
      </w:r>
      <w:r>
        <w:rPr>
          <w:rStyle w:val="Emphasis"/>
        </w:rPr>
        <w:t>An Introduction to MultiAgent Systems</w:t>
      </w:r>
      <w:r>
        <w:t>. 2nd edn. Chichester: John Wiley &amp; Sons.</w:t>
      </w:r>
    </w:p>
    <w:p w14:paraId="5C651C8A" w14:textId="7DDC474F" w:rsidR="00ED6BE8" w:rsidRDefault="00ED6BE8">
      <w:pPr>
        <w:spacing w:after="120" w:line="480" w:lineRule="auto"/>
      </w:pPr>
    </w:p>
    <w:sectPr w:rsidR="00ED6BE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2318552">
    <w:abstractNumId w:val="8"/>
  </w:num>
  <w:num w:numId="2" w16cid:durableId="484054423">
    <w:abstractNumId w:val="6"/>
  </w:num>
  <w:num w:numId="3" w16cid:durableId="368455848">
    <w:abstractNumId w:val="5"/>
  </w:num>
  <w:num w:numId="4" w16cid:durableId="1595356323">
    <w:abstractNumId w:val="4"/>
  </w:num>
  <w:num w:numId="5" w16cid:durableId="737023605">
    <w:abstractNumId w:val="7"/>
  </w:num>
  <w:num w:numId="6" w16cid:durableId="1118065733">
    <w:abstractNumId w:val="3"/>
  </w:num>
  <w:num w:numId="7" w16cid:durableId="622733107">
    <w:abstractNumId w:val="2"/>
  </w:num>
  <w:num w:numId="8" w16cid:durableId="1606116973">
    <w:abstractNumId w:val="1"/>
  </w:num>
  <w:num w:numId="9" w16cid:durableId="76218753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6482"/>
    <w:rsid w:val="005E60CB"/>
    <w:rsid w:val="00846570"/>
    <w:rsid w:val="00A75FA3"/>
    <w:rsid w:val="00AA1D8D"/>
    <w:rsid w:val="00B47730"/>
    <w:rsid w:val="00BC005B"/>
    <w:rsid w:val="00CB0664"/>
    <w:rsid w:val="00ED6B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D88B3E"/>
  <w14:defaultImageDpi w14:val="300"/>
  <w15:docId w15:val="{4B6CE43F-6387-AF46-A8EA-69D1C2886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icBody">
    <w:name w:val="Academic Body"/>
    <w:pPr>
      <w:spacing w:after="120" w:line="480" w:lineRule="auto"/>
    </w:pPr>
    <w:rPr>
      <w:rFonts w:ascii="Arial" w:eastAsia="Arial" w:hAnsi="Arial"/>
      <w:sz w:val="24"/>
    </w:rPr>
  </w:style>
  <w:style w:type="paragraph" w:customStyle="1" w:styleId="pdq2pgselectionanchorcontainer">
    <w:name w:val="pdq2pg_selectionanchorcontainer"/>
    <w:basedOn w:val="Normal"/>
    <w:rsid w:val="00546482"/>
    <w:pPr>
      <w:spacing w:before="100" w:beforeAutospacing="1" w:after="100" w:afterAutospacing="1" w:line="240" w:lineRule="auto"/>
    </w:pPr>
    <w:rPr>
      <w:rFonts w:ascii="Times New Roman" w:eastAsia="Times New Roman" w:hAnsi="Times New Roman" w:cs="Times New Roman"/>
      <w:szCs w:val="24"/>
      <w:lang w:val="en-MT" w:eastAsia="en-GB"/>
    </w:rPr>
  </w:style>
  <w:style w:type="character" w:styleId="Hyperlink">
    <w:name w:val="Hyperlink"/>
    <w:basedOn w:val="DefaultParagraphFont"/>
    <w:uiPriority w:val="99"/>
    <w:unhideWhenUsed/>
    <w:rsid w:val="00546482"/>
    <w:rPr>
      <w:color w:val="0000FF"/>
      <w:u w:val="single"/>
    </w:rPr>
  </w:style>
  <w:style w:type="paragraph" w:styleId="NormalWeb">
    <w:name w:val="Normal (Web)"/>
    <w:basedOn w:val="Normal"/>
    <w:uiPriority w:val="99"/>
    <w:semiHidden/>
    <w:unhideWhenUsed/>
    <w:rsid w:val="00546482"/>
    <w:pPr>
      <w:spacing w:before="100" w:beforeAutospacing="1" w:after="100" w:afterAutospacing="1" w:line="240" w:lineRule="auto"/>
    </w:pPr>
    <w:rPr>
      <w:rFonts w:ascii="Times New Roman" w:eastAsia="Times New Roman" w:hAnsi="Times New Roman" w:cs="Times New Roman"/>
      <w:szCs w:val="24"/>
      <w:lang w:val="en-MT" w:eastAsia="en-GB"/>
    </w:rPr>
  </w:style>
  <w:style w:type="character" w:styleId="FollowedHyperlink">
    <w:name w:val="FollowedHyperlink"/>
    <w:basedOn w:val="DefaultParagraphFont"/>
    <w:uiPriority w:val="99"/>
    <w:semiHidden/>
    <w:unhideWhenUsed/>
    <w:rsid w:val="005E60CB"/>
    <w:rPr>
      <w:color w:val="800080" w:themeColor="followedHyperlink"/>
      <w:u w:val="single"/>
    </w:rPr>
  </w:style>
  <w:style w:type="character" w:styleId="UnresolvedMention">
    <w:name w:val="Unresolved Mention"/>
    <w:basedOn w:val="DefaultParagraphFont"/>
    <w:uiPriority w:val="99"/>
    <w:semiHidden/>
    <w:unhideWhenUsed/>
    <w:rsid w:val="005E60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langchain.com/oss/python/langgraph/overview"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dlib.org/dlib/november12/knoth/11knoth.html" TargetMode="External"/><Relationship Id="rId12" Type="http://schemas.openxmlformats.org/officeDocument/2006/relationships/hyperlink" Target="https://tenacity.readthedocs.io/en/stabl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python-httpx.org/async/" TargetMode="External"/><Relationship Id="rId11" Type="http://schemas.openxmlformats.org/officeDocument/2006/relationships/hyperlink" Target="https://doi.org/10.48550/arXiv.2403.08399" TargetMode="External"/><Relationship Id="rId5" Type="http://schemas.openxmlformats.org/officeDocument/2006/relationships/webSettings" Target="webSettings.xml"/><Relationship Id="rId10" Type="http://schemas.openxmlformats.org/officeDocument/2006/relationships/hyperlink" Target="https://docs.pydantic.dev/" TargetMode="External"/><Relationship Id="rId4" Type="http://schemas.openxmlformats.org/officeDocument/2006/relationships/settings" Target="settings.xml"/><Relationship Id="rId9" Type="http://schemas.openxmlformats.org/officeDocument/2006/relationships/hyperlink" Target="https://doi.org/10.48550/arXiv.2205.01833"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631</Words>
  <Characters>3598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Imoh Etuk</cp:lastModifiedBy>
  <cp:revision>2</cp:revision>
  <dcterms:created xsi:type="dcterms:W3CDTF">2013-12-23T23:15:00Z</dcterms:created>
  <dcterms:modified xsi:type="dcterms:W3CDTF">2026-08-20T14:48:00Z</dcterms:modified>
  <cp:category/>
</cp:coreProperties>
</file>