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60CBB" w14:textId="3376EC23" w:rsidR="00520DFF" w:rsidRPr="00520DFF" w:rsidRDefault="00520DFF" w:rsidP="00520DFF">
      <w:pPr>
        <w:pStyle w:val="Heading1"/>
        <w:spacing w:before="240" w:after="240"/>
      </w:pPr>
      <w:r w:rsidRPr="00520DFF">
        <w:t>Academic Research Agent: Presentation Transcript</w:t>
      </w:r>
    </w:p>
    <w:p w14:paraId="363CF55D" w14:textId="42434DA2" w:rsidR="003E47E1" w:rsidRPr="00520DFF"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t>Slide 1 - Academic Research Agent</w:t>
      </w:r>
    </w:p>
    <w:p w14:paraId="5B9DC1EE" w14:textId="384B376F" w:rsidR="003E47E1" w:rsidRPr="00520DFF" w:rsidRDefault="00FC236D" w:rsidP="00520DFF">
      <w:pPr>
        <w:spacing w:after="120" w:line="480" w:lineRule="auto"/>
        <w:jc w:val="both"/>
        <w:rPr>
          <w:rFonts w:ascii="Arial" w:hAnsi="Arial" w:cs="Arial"/>
          <w:sz w:val="24"/>
          <w:szCs w:val="24"/>
        </w:rPr>
      </w:pPr>
      <w:r w:rsidRPr="00FC236D">
        <w:rPr>
          <w:rFonts w:ascii="Arial" w:hAnsi="Arial" w:cs="Arial"/>
          <w:sz w:val="24"/>
          <w:szCs w:val="24"/>
        </w:rPr>
        <w:t>This presentation demonstrates my implementation of the design proposal developed by Group C (2026)</w:t>
      </w:r>
      <w:r w:rsidRPr="00520DFF">
        <w:rPr>
          <w:rFonts w:ascii="Arial" w:hAnsi="Arial" w:cs="Arial"/>
          <w:sz w:val="24"/>
          <w:szCs w:val="24"/>
        </w:rPr>
        <w:t xml:space="preserve">. The system turns a high-level academic research goal into ranked, traceable scholarly evidence, drawing on Design Science principles for artefact development and evaluation (Peffers et al., 2007). I implemented it as a bounded multi-agent workflow because the task has distinct responsibilities: planning, retrieval, evidence processing and storage, which reflects multi-agent system literature on specialised interacting components (Wooldridge, 2009; Guo et al., 2024). The evidence-enhanced version adds two further items requested by the tutor feedback: a </w:t>
      </w:r>
      <w:r w:rsidR="00520DFF" w:rsidRPr="00520DFF">
        <w:rPr>
          <w:rFonts w:ascii="Arial" w:hAnsi="Arial" w:cs="Arial"/>
          <w:sz w:val="24"/>
          <w:szCs w:val="24"/>
        </w:rPr>
        <w:t>small, labelled</w:t>
      </w:r>
      <w:r w:rsidRPr="00520DFF">
        <w:rPr>
          <w:rFonts w:ascii="Arial" w:hAnsi="Arial" w:cs="Arial"/>
          <w:sz w:val="24"/>
          <w:szCs w:val="24"/>
        </w:rPr>
        <w:t xml:space="preserve"> retrieval-ranking evaluation and a planner operational benchmark. I therefore present the artefact as a tested research aid, not as an autonomous author or a complete literature-review system.</w:t>
      </w:r>
    </w:p>
    <w:p w14:paraId="4E25BCCC" w14:textId="3C59BEE1" w:rsidR="003E47E1" w:rsidRPr="001E5E27" w:rsidRDefault="00000000" w:rsidP="001E5E27">
      <w:pPr>
        <w:pStyle w:val="Heading1"/>
        <w:spacing w:before="240" w:after="240" w:line="480" w:lineRule="auto"/>
        <w:jc w:val="both"/>
        <w:rPr>
          <w:rFonts w:ascii="Arial" w:hAnsi="Arial" w:cs="Arial"/>
          <w:sz w:val="24"/>
          <w:szCs w:val="24"/>
        </w:rPr>
      </w:pPr>
      <w:r w:rsidRPr="001E5E27">
        <w:rPr>
          <w:rFonts w:ascii="Arial" w:hAnsi="Arial" w:cs="Arial"/>
          <w:sz w:val="24"/>
          <w:szCs w:val="24"/>
        </w:rPr>
        <w:t xml:space="preserve">Slide 2 </w:t>
      </w:r>
      <w:r w:rsidR="00D52D26" w:rsidRPr="001E5E27">
        <w:rPr>
          <w:rFonts w:ascii="Arial" w:hAnsi="Arial" w:cs="Arial"/>
          <w:sz w:val="24"/>
          <w:szCs w:val="24"/>
        </w:rPr>
        <w:t>–</w:t>
      </w:r>
      <w:r w:rsidRPr="001E5E27">
        <w:rPr>
          <w:rFonts w:ascii="Arial" w:hAnsi="Arial" w:cs="Arial"/>
          <w:sz w:val="24"/>
          <w:szCs w:val="24"/>
        </w:rPr>
        <w:t xml:space="preserve"> </w:t>
      </w:r>
      <w:r w:rsidR="00D52D26" w:rsidRPr="001E5E27">
        <w:rPr>
          <w:rFonts w:ascii="Arial" w:hAnsi="Arial" w:cs="Arial"/>
          <w:sz w:val="24"/>
          <w:szCs w:val="24"/>
        </w:rPr>
        <w:t>Unit 11 Submission requirements</w:t>
      </w:r>
    </w:p>
    <w:p w14:paraId="4FD66C39" w14:textId="77777777" w:rsidR="001E5E27" w:rsidRPr="001E5E27" w:rsidRDefault="001E5E27" w:rsidP="001E5E27">
      <w:pPr>
        <w:spacing w:line="480" w:lineRule="auto"/>
        <w:jc w:val="both"/>
        <w:rPr>
          <w:rFonts w:ascii="Arial" w:hAnsi="Arial" w:cs="Arial"/>
          <w:sz w:val="24"/>
          <w:szCs w:val="24"/>
        </w:rPr>
      </w:pPr>
      <w:r w:rsidRPr="001E5E27">
        <w:rPr>
          <w:rFonts w:ascii="Arial" w:hAnsi="Arial" w:cs="Arial"/>
          <w:sz w:val="24"/>
          <w:szCs w:val="24"/>
        </w:rPr>
        <w:t>The Unit 11 assignment requires the development of an LLM-powered planning agent that can receive a goal, plan a sequence of actions, retrieve and process relevant data, and produce a meaningful output (University of Essex Online, 2026). I translated these requirements into five practical design objectives for the Academic Research Agent: accept one high-level research goal, separate planning, retrieval, processing and storage responsibilities, retrieve scholarly metadata through accessible services, preserve provenance so results can be checked by the user, and fail safely when a model endpoint or network service is unavailable.</w:t>
      </w:r>
    </w:p>
    <w:p w14:paraId="18C8C92F" w14:textId="1B047695" w:rsidR="003E47E1" w:rsidRPr="00520DFF" w:rsidRDefault="001E5E27" w:rsidP="001E5E27">
      <w:pPr>
        <w:spacing w:line="480" w:lineRule="auto"/>
        <w:jc w:val="both"/>
        <w:rPr>
          <w:rFonts w:ascii="Arial" w:hAnsi="Arial" w:cs="Arial"/>
          <w:sz w:val="24"/>
          <w:szCs w:val="24"/>
        </w:rPr>
      </w:pPr>
      <w:r w:rsidRPr="001E5E27">
        <w:rPr>
          <w:rFonts w:ascii="Arial" w:hAnsi="Arial" w:cs="Arial"/>
          <w:sz w:val="24"/>
          <w:szCs w:val="24"/>
        </w:rPr>
        <w:lastRenderedPageBreak/>
        <w:t>The system is therefore treated as a Design Science artefact and evaluated against clearly defined objectives rather than only whether the software executes successfully (Peffers et al., 2007). This framing also supports the assessment focus on code quality, design alignment, application of agent concepts, critical evaluation, documentation and source acknowledgement</w:t>
      </w:r>
      <w:r w:rsidRPr="00520DFF">
        <w:rPr>
          <w:rFonts w:ascii="Arial" w:hAnsi="Arial" w:cs="Arial"/>
          <w:sz w:val="24"/>
          <w:szCs w:val="24"/>
        </w:rPr>
        <w:t>.</w:t>
      </w:r>
    </w:p>
    <w:p w14:paraId="69DAD934" w14:textId="77777777" w:rsidR="003E47E1" w:rsidRPr="00520DFF"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t>Slide 3 - From proposal to implementation</w:t>
      </w:r>
    </w:p>
    <w:p w14:paraId="0BCB8486" w14:textId="7773D883" w:rsidR="003E47E1" w:rsidRPr="00520DFF" w:rsidRDefault="00FC236D" w:rsidP="00520DFF">
      <w:pPr>
        <w:spacing w:line="480" w:lineRule="auto"/>
        <w:jc w:val="both"/>
        <w:rPr>
          <w:rFonts w:ascii="Arial" w:hAnsi="Arial" w:cs="Arial"/>
          <w:sz w:val="24"/>
          <w:szCs w:val="24"/>
        </w:rPr>
      </w:pPr>
      <w:r w:rsidRPr="00FC236D">
        <w:rPr>
          <w:rFonts w:ascii="Arial" w:hAnsi="Arial" w:cs="Arial"/>
          <w:sz w:val="24"/>
          <w:szCs w:val="24"/>
        </w:rPr>
        <w:t>This slide shows where the implementation follows the Group C (2026) design proposal and where it makes deliberate substitutions</w:t>
      </w:r>
      <w:r>
        <w:rPr>
          <w:rFonts w:ascii="Arial" w:hAnsi="Arial" w:cs="Arial"/>
          <w:sz w:val="24"/>
          <w:szCs w:val="24"/>
        </w:rPr>
        <w:t xml:space="preserve">. </w:t>
      </w:r>
      <w:r w:rsidRPr="00520DFF">
        <w:rPr>
          <w:rFonts w:ascii="Arial" w:hAnsi="Arial" w:cs="Arial"/>
          <w:sz w:val="24"/>
          <w:szCs w:val="24"/>
        </w:rPr>
        <w:t>The provider-agnostic model layer is represented by an optional Ollama planner behind a simple planning interface, which keeps the planning layer open to different LLMs while avoiding an unsupported claim that one model is superior (Huang et al., 2024). OpenAlex is the implemented live retrieval provider, while arXiv and CORE remain extension points. The proposed four-agent responsibilities are preserved as typed specialist components coordinated by a workflow, which is a narrower and more defensible interpretation of agent specialisation than claiming that every component is fully autonomous (Wooldridge, 2009; Guo et al., 2024). I replaced LangGraph, Pydantic, HTTPX and Tenacity with Python standard-library protocols, dataclasses and HTTP calls. This reduces installation risk and makes the artefact easier to run, although it also means asynchronous retrieval, LangGraph visualisation and exponential back-off are not implemented.</w:t>
      </w:r>
    </w:p>
    <w:p w14:paraId="19A7B9FC" w14:textId="77777777" w:rsidR="003E47E1" w:rsidRPr="00FA2644" w:rsidRDefault="00000000" w:rsidP="00FA2644">
      <w:pPr>
        <w:pStyle w:val="Heading1"/>
        <w:spacing w:before="240" w:after="240" w:line="480" w:lineRule="auto"/>
        <w:jc w:val="both"/>
        <w:rPr>
          <w:rFonts w:ascii="Arial" w:hAnsi="Arial" w:cs="Arial"/>
          <w:sz w:val="24"/>
          <w:szCs w:val="24"/>
        </w:rPr>
      </w:pPr>
      <w:r w:rsidRPr="00FA2644">
        <w:rPr>
          <w:rFonts w:ascii="Arial" w:hAnsi="Arial" w:cs="Arial"/>
          <w:sz w:val="24"/>
          <w:szCs w:val="24"/>
        </w:rPr>
        <w:t>Slide 4 - System architecture</w:t>
      </w:r>
    </w:p>
    <w:p w14:paraId="15923DE8" w14:textId="77777777" w:rsidR="00FA2644" w:rsidRPr="00FA2644" w:rsidRDefault="00FA2644" w:rsidP="00FA2644">
      <w:pPr>
        <w:spacing w:line="480" w:lineRule="auto"/>
        <w:jc w:val="both"/>
        <w:rPr>
          <w:rFonts w:ascii="Arial" w:hAnsi="Arial" w:cs="Arial"/>
          <w:sz w:val="24"/>
          <w:szCs w:val="24"/>
        </w:rPr>
      </w:pPr>
      <w:r w:rsidRPr="00FA2644">
        <w:rPr>
          <w:rFonts w:ascii="Arial" w:hAnsi="Arial" w:cs="Arial"/>
          <w:sz w:val="24"/>
          <w:szCs w:val="24"/>
        </w:rPr>
        <w:t xml:space="preserve">The architecture implements a bounded research workflow with clearly separated responsibilities. The user first provides a high-level academic research goal, which is </w:t>
      </w:r>
      <w:r w:rsidRPr="00FA2644">
        <w:rPr>
          <w:rFonts w:ascii="Arial" w:hAnsi="Arial" w:cs="Arial"/>
          <w:sz w:val="24"/>
          <w:szCs w:val="24"/>
        </w:rPr>
        <w:lastRenderedPageBreak/>
        <w:t xml:space="preserve">passed to the Planning Agent. The Planning Agent generates structured search tasks and coordinates the subsequent workflow. It may optionally use </w:t>
      </w:r>
      <w:proofErr w:type="spellStart"/>
      <w:r w:rsidRPr="00FA2644">
        <w:rPr>
          <w:rFonts w:ascii="Arial" w:hAnsi="Arial" w:cs="Arial"/>
          <w:sz w:val="24"/>
          <w:szCs w:val="24"/>
        </w:rPr>
        <w:t>Ollama</w:t>
      </w:r>
      <w:proofErr w:type="spellEnd"/>
      <w:r w:rsidRPr="00FA2644">
        <w:rPr>
          <w:rFonts w:ascii="Arial" w:hAnsi="Arial" w:cs="Arial"/>
          <w:sz w:val="24"/>
          <w:szCs w:val="24"/>
        </w:rPr>
        <w:t xml:space="preserve"> through a provider-agnostic model interface, allowing LLM-assisted planning while keeping the output constrained to validated JSON rather than allowing unrestricted model behaviour (Huang et al., 2024).</w:t>
      </w:r>
    </w:p>
    <w:p w14:paraId="265DB8A9" w14:textId="77777777" w:rsidR="00FA2644" w:rsidRPr="00FA2644" w:rsidRDefault="00FA2644" w:rsidP="00FA2644">
      <w:pPr>
        <w:spacing w:line="480" w:lineRule="auto"/>
        <w:jc w:val="both"/>
        <w:rPr>
          <w:rFonts w:ascii="Arial" w:hAnsi="Arial" w:cs="Arial"/>
          <w:sz w:val="24"/>
          <w:szCs w:val="24"/>
        </w:rPr>
      </w:pPr>
      <w:r w:rsidRPr="00FA2644">
        <w:rPr>
          <w:rFonts w:ascii="Arial" w:hAnsi="Arial" w:cs="Arial"/>
          <w:sz w:val="24"/>
          <w:szCs w:val="24"/>
        </w:rPr>
        <w:t xml:space="preserve">The Retrieval Agent then executes the planned searches against scholarly sources. </w:t>
      </w:r>
      <w:proofErr w:type="spellStart"/>
      <w:r w:rsidRPr="00FA2644">
        <w:rPr>
          <w:rFonts w:ascii="Arial" w:hAnsi="Arial" w:cs="Arial"/>
          <w:sz w:val="24"/>
          <w:szCs w:val="24"/>
        </w:rPr>
        <w:t>OpenAlex</w:t>
      </w:r>
      <w:proofErr w:type="spellEnd"/>
      <w:r w:rsidRPr="00FA2644">
        <w:rPr>
          <w:rFonts w:ascii="Arial" w:hAnsi="Arial" w:cs="Arial"/>
          <w:sz w:val="24"/>
          <w:szCs w:val="24"/>
        </w:rPr>
        <w:t xml:space="preserve"> is the primary live provider in the implemented system, while </w:t>
      </w:r>
      <w:proofErr w:type="spellStart"/>
      <w:r w:rsidRPr="00FA2644">
        <w:rPr>
          <w:rFonts w:ascii="Arial" w:hAnsi="Arial" w:cs="Arial"/>
          <w:sz w:val="24"/>
          <w:szCs w:val="24"/>
        </w:rPr>
        <w:t>arXiv</w:t>
      </w:r>
      <w:proofErr w:type="spellEnd"/>
      <w:r w:rsidRPr="00FA2644">
        <w:rPr>
          <w:rFonts w:ascii="Arial" w:hAnsi="Arial" w:cs="Arial"/>
          <w:sz w:val="24"/>
          <w:szCs w:val="24"/>
        </w:rPr>
        <w:t xml:space="preserve"> and CORE are retained as extension sources. The retrieved metadata is passed to the Processing Agent, which validates and normalises the records, removes duplicates and ranks the resulting evidence.</w:t>
      </w:r>
    </w:p>
    <w:p w14:paraId="7481FAE4" w14:textId="77777777" w:rsidR="00FA2644" w:rsidRPr="00FA2644" w:rsidRDefault="00FA2644" w:rsidP="00FA2644">
      <w:pPr>
        <w:spacing w:line="480" w:lineRule="auto"/>
        <w:jc w:val="both"/>
        <w:rPr>
          <w:rFonts w:ascii="Arial" w:hAnsi="Arial" w:cs="Arial"/>
          <w:sz w:val="24"/>
          <w:szCs w:val="24"/>
        </w:rPr>
      </w:pPr>
      <w:r w:rsidRPr="00FA2644">
        <w:rPr>
          <w:rFonts w:ascii="Arial" w:hAnsi="Arial" w:cs="Arial"/>
          <w:sz w:val="24"/>
          <w:szCs w:val="24"/>
        </w:rPr>
        <w:t>After processing, the workflow performs an explicit evidence-sufficiency decision. If the evidence is sufficient, the results proceed to the Storage Agent. If the evidence is insufficient, the workflow returns to the Planning Agent so that the search can be refined and another retrieval cycle can be performed. This refinement is bounded to a maximum of three cycles, providing a clear stopping condition and preventing uncontrolled looping. This use of explicit state transitions, decision points and bounded iteration constrains autonomous behaviour (Russell and Norvig, 2021).</w:t>
      </w:r>
    </w:p>
    <w:p w14:paraId="587F8F71" w14:textId="3982F251" w:rsidR="00FA2644" w:rsidRPr="00FA2644" w:rsidRDefault="00FA2644" w:rsidP="00FA2644">
      <w:pPr>
        <w:spacing w:line="480" w:lineRule="auto"/>
        <w:jc w:val="both"/>
        <w:rPr>
          <w:rFonts w:ascii="Arial" w:hAnsi="Arial" w:cs="Arial"/>
          <w:sz w:val="24"/>
          <w:szCs w:val="24"/>
        </w:rPr>
      </w:pPr>
      <w:r w:rsidRPr="00FA2644">
        <w:rPr>
          <w:rFonts w:ascii="Arial" w:hAnsi="Arial" w:cs="Arial"/>
          <w:sz w:val="24"/>
          <w:szCs w:val="24"/>
        </w:rPr>
        <w:t xml:space="preserve">Finally, the Storage Agent preserves the structured results and their provenance in JSON and Markdown outputs. Overall, the architecture provides bounded workflow autonomy: optional LLM support is limited to planning, while retrieval, processing, decision control and storage operate through explicit and inspectable workflow stages, </w:t>
      </w:r>
      <w:r w:rsidRPr="00FA2644">
        <w:rPr>
          <w:rFonts w:ascii="Arial" w:hAnsi="Arial" w:cs="Arial"/>
          <w:sz w:val="24"/>
          <w:szCs w:val="24"/>
        </w:rPr>
        <w:lastRenderedPageBreak/>
        <w:t xml:space="preserve">consistent with </w:t>
      </w:r>
      <w:proofErr w:type="spellStart"/>
      <w:r w:rsidRPr="00FA2644">
        <w:rPr>
          <w:rFonts w:ascii="Arial" w:hAnsi="Arial" w:cs="Arial"/>
          <w:sz w:val="24"/>
          <w:szCs w:val="24"/>
        </w:rPr>
        <w:t>specialised</w:t>
      </w:r>
      <w:proofErr w:type="spellEnd"/>
      <w:r w:rsidRPr="00FA2644">
        <w:rPr>
          <w:rFonts w:ascii="Arial" w:hAnsi="Arial" w:cs="Arial"/>
          <w:sz w:val="24"/>
          <w:szCs w:val="24"/>
        </w:rPr>
        <w:t xml:space="preserve"> agent responsibilities described in multi-agent systems literature (Wooldridge, 2009).</w:t>
      </w:r>
    </w:p>
    <w:p w14:paraId="7C4ED173" w14:textId="77777777" w:rsidR="003E47E1"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t>Slide 5 - Planning and autonomous behaviour</w:t>
      </w:r>
    </w:p>
    <w:p w14:paraId="2CC4CB49" w14:textId="77777777" w:rsidR="006D5831" w:rsidRPr="006D5831" w:rsidRDefault="006D5831" w:rsidP="006D5831">
      <w:pPr>
        <w:spacing w:line="480" w:lineRule="auto"/>
        <w:jc w:val="both"/>
        <w:rPr>
          <w:rFonts w:ascii="Arial" w:hAnsi="Arial" w:cs="Arial"/>
          <w:sz w:val="24"/>
          <w:szCs w:val="24"/>
          <w:lang w:val="en-MT"/>
        </w:rPr>
      </w:pPr>
      <w:r w:rsidRPr="006D5831">
        <w:rPr>
          <w:rFonts w:ascii="Arial" w:hAnsi="Arial" w:cs="Arial"/>
          <w:sz w:val="24"/>
          <w:szCs w:val="24"/>
          <w:lang w:val="en-MT"/>
        </w:rPr>
        <w:t>Autonomy in this system is demonstrated at the workflow level rather than being claimed for every component. A single research goal is transformed into a sequence of planned actions without requiring the user to specify each individual search query, which is consistent with descriptions of goal-directed agentic behaviour (Bandi et al., 2025; Guo et al., 2024).</w:t>
      </w:r>
    </w:p>
    <w:p w14:paraId="14B7761B" w14:textId="77777777" w:rsidR="006D5831" w:rsidRPr="006D5831" w:rsidRDefault="006D5831" w:rsidP="006D5831">
      <w:pPr>
        <w:spacing w:line="480" w:lineRule="auto"/>
        <w:jc w:val="both"/>
        <w:rPr>
          <w:rFonts w:ascii="Arial" w:hAnsi="Arial" w:cs="Arial"/>
          <w:sz w:val="24"/>
          <w:szCs w:val="24"/>
          <w:lang w:val="en-MT"/>
        </w:rPr>
      </w:pPr>
      <w:r w:rsidRPr="006D5831">
        <w:rPr>
          <w:rFonts w:ascii="Arial" w:hAnsi="Arial" w:cs="Arial"/>
          <w:sz w:val="24"/>
          <w:szCs w:val="24"/>
          <w:lang w:val="en-MT"/>
        </w:rPr>
        <w:t>The Planning Agent may use Ollama to generate between two and five search tasks, but the output must conform to a strict JSON task schema before it can be executed (Huang et al., 2024). If the model endpoint is unavailable or returns malformed output, the system falls back to transparent rule-based planning rather than allowing invalid model output to propagate through the workflow.</w:t>
      </w:r>
    </w:p>
    <w:p w14:paraId="5D3AA154" w14:textId="77777777" w:rsidR="006D5831" w:rsidRPr="006D5831" w:rsidRDefault="006D5831" w:rsidP="006D5831">
      <w:pPr>
        <w:spacing w:line="480" w:lineRule="auto"/>
        <w:jc w:val="both"/>
        <w:rPr>
          <w:rFonts w:ascii="Arial" w:hAnsi="Arial" w:cs="Arial"/>
          <w:sz w:val="24"/>
          <w:szCs w:val="24"/>
          <w:lang w:val="en-MT"/>
        </w:rPr>
      </w:pPr>
      <w:r w:rsidRPr="006D5831">
        <w:rPr>
          <w:rFonts w:ascii="Arial" w:hAnsi="Arial" w:cs="Arial"/>
          <w:sz w:val="24"/>
          <w:szCs w:val="24"/>
          <w:lang w:val="en-MT"/>
        </w:rPr>
        <w:t>Importantly, the LLM does not determine whether the research task is complete. Evidence sufficiency is evaluated by the workflow logic, while retrieval, processing and storage remain deterministic specialist stages. The workflow can either stop when the evidence requirement is satisfied or refine the search and repeat safely. A maximum of three cycles provides an explicit safeguard against uncontrolled agent looping.</w:t>
      </w:r>
    </w:p>
    <w:p w14:paraId="78867F35" w14:textId="4E762894" w:rsidR="006D5831" w:rsidRPr="00B64742" w:rsidRDefault="006D5831" w:rsidP="00B64742">
      <w:pPr>
        <w:spacing w:line="480" w:lineRule="auto"/>
        <w:jc w:val="both"/>
        <w:rPr>
          <w:rFonts w:ascii="Arial" w:hAnsi="Arial" w:cs="Arial"/>
          <w:sz w:val="24"/>
          <w:szCs w:val="24"/>
          <w:lang w:val="en-MT"/>
        </w:rPr>
      </w:pPr>
      <w:r w:rsidRPr="006D5831">
        <w:rPr>
          <w:rFonts w:ascii="Arial" w:hAnsi="Arial" w:cs="Arial"/>
          <w:sz w:val="24"/>
          <w:szCs w:val="24"/>
          <w:lang w:val="en-MT"/>
        </w:rPr>
        <w:t xml:space="preserve">For this reason, I describe the implementation as </w:t>
      </w:r>
      <w:r w:rsidRPr="006D5831">
        <w:rPr>
          <w:rFonts w:ascii="Arial" w:hAnsi="Arial" w:cs="Arial"/>
          <w:b/>
          <w:bCs/>
          <w:sz w:val="24"/>
          <w:szCs w:val="24"/>
          <w:lang w:val="en-MT"/>
        </w:rPr>
        <w:t>bounded workflow autonomy</w:t>
      </w:r>
      <w:r w:rsidRPr="006D5831">
        <w:rPr>
          <w:rFonts w:ascii="Arial" w:hAnsi="Arial" w:cs="Arial"/>
          <w:sz w:val="24"/>
          <w:szCs w:val="24"/>
          <w:lang w:val="en-MT"/>
        </w:rPr>
        <w:t xml:space="preserve">: the system follows a goal-to-plan-to-act-to-evaluate-to-output process under explicit validation and stopping rules, rather than operating as an unrestricted autonomous </w:t>
      </w:r>
      <w:r w:rsidRPr="006D5831">
        <w:rPr>
          <w:rFonts w:ascii="Arial" w:hAnsi="Arial" w:cs="Arial"/>
          <w:sz w:val="24"/>
          <w:szCs w:val="24"/>
          <w:lang w:val="en-MT"/>
        </w:rPr>
        <w:lastRenderedPageBreak/>
        <w:t>agent. The offline command shown on the slide provides reproducible execution evidence for demonstrating this behaviour.</w:t>
      </w:r>
    </w:p>
    <w:p w14:paraId="27C09DBB" w14:textId="77777777" w:rsidR="003E47E1" w:rsidRPr="00B64742" w:rsidRDefault="00000000" w:rsidP="00B64742">
      <w:pPr>
        <w:pStyle w:val="Heading1"/>
        <w:spacing w:before="240" w:after="240" w:line="480" w:lineRule="auto"/>
        <w:jc w:val="both"/>
        <w:rPr>
          <w:rFonts w:ascii="Arial" w:hAnsi="Arial" w:cs="Arial"/>
          <w:sz w:val="24"/>
          <w:szCs w:val="24"/>
        </w:rPr>
      </w:pPr>
      <w:r w:rsidRPr="00B64742">
        <w:rPr>
          <w:rFonts w:ascii="Arial" w:hAnsi="Arial" w:cs="Arial"/>
          <w:sz w:val="24"/>
          <w:szCs w:val="24"/>
        </w:rPr>
        <w:t>Slide 6 - Evidence retrieval and processing</w:t>
      </w:r>
    </w:p>
    <w:p w14:paraId="4FF62AB4" w14:textId="77777777" w:rsidR="00B64742" w:rsidRPr="00B64742" w:rsidRDefault="00B64742" w:rsidP="00B64742">
      <w:pPr>
        <w:spacing w:line="480" w:lineRule="auto"/>
        <w:jc w:val="both"/>
        <w:rPr>
          <w:rFonts w:ascii="Arial" w:hAnsi="Arial" w:cs="Arial"/>
          <w:sz w:val="24"/>
          <w:szCs w:val="24"/>
        </w:rPr>
      </w:pPr>
      <w:r w:rsidRPr="00B64742">
        <w:rPr>
          <w:rFonts w:ascii="Arial" w:hAnsi="Arial" w:cs="Arial"/>
          <w:sz w:val="24"/>
          <w:szCs w:val="24"/>
        </w:rPr>
        <w:t xml:space="preserve">The retrieval and processing stages are designed to </w:t>
      </w:r>
      <w:proofErr w:type="spellStart"/>
      <w:r w:rsidRPr="00B64742">
        <w:rPr>
          <w:rFonts w:ascii="Arial" w:hAnsi="Arial" w:cs="Arial"/>
          <w:sz w:val="24"/>
          <w:szCs w:val="24"/>
        </w:rPr>
        <w:t>prioritise</w:t>
      </w:r>
      <w:proofErr w:type="spellEnd"/>
      <w:r w:rsidRPr="00B64742">
        <w:rPr>
          <w:rFonts w:ascii="Arial" w:hAnsi="Arial" w:cs="Arial"/>
          <w:sz w:val="24"/>
          <w:szCs w:val="24"/>
        </w:rPr>
        <w:t xml:space="preserve"> traceable academic evidence rather than unsupported generated summaries. The Retrieval Agent obtains scholarly metadata from </w:t>
      </w:r>
      <w:proofErr w:type="spellStart"/>
      <w:r w:rsidRPr="00B64742">
        <w:rPr>
          <w:rFonts w:ascii="Arial" w:hAnsi="Arial" w:cs="Arial"/>
          <w:sz w:val="24"/>
          <w:szCs w:val="24"/>
        </w:rPr>
        <w:t>OpenAlex</w:t>
      </w:r>
      <w:proofErr w:type="spellEnd"/>
      <w:r w:rsidRPr="00B64742">
        <w:rPr>
          <w:rFonts w:ascii="Arial" w:hAnsi="Arial" w:cs="Arial"/>
          <w:sz w:val="24"/>
          <w:szCs w:val="24"/>
        </w:rPr>
        <w:t xml:space="preserve"> and maps each result into a consistent internal record containing the title, authors, publication year, DOI or source URL, and the query that produced the result (</w:t>
      </w:r>
      <w:proofErr w:type="spellStart"/>
      <w:r w:rsidRPr="00B64742">
        <w:rPr>
          <w:rFonts w:ascii="Arial" w:hAnsi="Arial" w:cs="Arial"/>
          <w:sz w:val="24"/>
          <w:szCs w:val="24"/>
        </w:rPr>
        <w:t>OpenAlex</w:t>
      </w:r>
      <w:proofErr w:type="spellEnd"/>
      <w:r w:rsidRPr="00B64742">
        <w:rPr>
          <w:rFonts w:ascii="Arial" w:hAnsi="Arial" w:cs="Arial"/>
          <w:sz w:val="24"/>
          <w:szCs w:val="24"/>
        </w:rPr>
        <w:t>, no date).</w:t>
      </w:r>
    </w:p>
    <w:p w14:paraId="31D10E0A" w14:textId="77777777" w:rsidR="00B64742" w:rsidRPr="00B64742" w:rsidRDefault="00B64742" w:rsidP="00B64742">
      <w:pPr>
        <w:spacing w:line="480" w:lineRule="auto"/>
        <w:jc w:val="both"/>
        <w:rPr>
          <w:rFonts w:ascii="Arial" w:hAnsi="Arial" w:cs="Arial"/>
          <w:sz w:val="24"/>
          <w:szCs w:val="24"/>
        </w:rPr>
      </w:pPr>
      <w:r w:rsidRPr="00B64742">
        <w:rPr>
          <w:rFonts w:ascii="Arial" w:hAnsi="Arial" w:cs="Arial"/>
          <w:sz w:val="24"/>
          <w:szCs w:val="24"/>
        </w:rPr>
        <w:t>The Processing Agent then removes duplicate records using DOI or source identity and ranks the remaining evidence using a deterministic scoring approach. The ranking combines lexical keyword overlap with a bounded citation-count signal. This design makes the ranking repeatable, because the same inputs produce the same result, inspectable, because a reviewer can see why one record ranked above another, and testable, because ranking and deduplication behaviour can be asserted automatically.</w:t>
      </w:r>
    </w:p>
    <w:p w14:paraId="3C145685" w14:textId="77777777" w:rsidR="00B64742" w:rsidRPr="00B64742" w:rsidRDefault="00B64742" w:rsidP="00B64742">
      <w:pPr>
        <w:spacing w:line="480" w:lineRule="auto"/>
        <w:jc w:val="both"/>
        <w:rPr>
          <w:rFonts w:ascii="Arial" w:hAnsi="Arial" w:cs="Arial"/>
          <w:sz w:val="24"/>
          <w:szCs w:val="24"/>
        </w:rPr>
      </w:pPr>
      <w:r w:rsidRPr="00B64742">
        <w:rPr>
          <w:rFonts w:ascii="Arial" w:hAnsi="Arial" w:cs="Arial"/>
          <w:sz w:val="24"/>
          <w:szCs w:val="24"/>
        </w:rPr>
        <w:t>The approach also supports provenance. Retrieved metadata is preserved rather than replaced with unsupported generated citations or summaries, which is consistent with the principle of grounding outputs in retrieved evidence (Lewis et al., 2020).</w:t>
      </w:r>
    </w:p>
    <w:p w14:paraId="7C9D8FA0" w14:textId="734811B1" w:rsidR="00B64742" w:rsidRPr="00B64742" w:rsidRDefault="00B64742" w:rsidP="00B64742">
      <w:pPr>
        <w:spacing w:line="480" w:lineRule="auto"/>
        <w:jc w:val="both"/>
        <w:rPr>
          <w:rFonts w:ascii="Arial" w:hAnsi="Arial" w:cs="Arial"/>
          <w:sz w:val="24"/>
          <w:szCs w:val="24"/>
        </w:rPr>
      </w:pPr>
      <w:r w:rsidRPr="00B64742">
        <w:rPr>
          <w:rFonts w:ascii="Arial" w:hAnsi="Arial" w:cs="Arial"/>
          <w:sz w:val="24"/>
          <w:szCs w:val="24"/>
        </w:rPr>
        <w:t>However, the ranking method has an important limitation: lexical relevance does not provide full semantic understanding. A paper may use different terminology while still being conceptually relevant. I therefore treat the deterministic ranking as a transparent and reproducible baseline rather than as a claim of semantic comprehension.</w:t>
      </w:r>
    </w:p>
    <w:p w14:paraId="13CC6D70" w14:textId="77777777" w:rsidR="003E47E1"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lastRenderedPageBreak/>
        <w:t>Slide 7 - Explainability and responsible design</w:t>
      </w:r>
    </w:p>
    <w:p w14:paraId="5ECC8A56" w14:textId="77777777" w:rsidR="0043083A" w:rsidRPr="008D403F" w:rsidRDefault="0043083A" w:rsidP="008D403F">
      <w:pPr>
        <w:spacing w:line="480" w:lineRule="auto"/>
        <w:jc w:val="both"/>
        <w:rPr>
          <w:rFonts w:ascii="Arial" w:hAnsi="Arial" w:cs="Arial"/>
          <w:sz w:val="24"/>
          <w:szCs w:val="24"/>
        </w:rPr>
      </w:pPr>
      <w:r w:rsidRPr="008D403F">
        <w:rPr>
          <w:rFonts w:ascii="Arial" w:hAnsi="Arial" w:cs="Arial"/>
          <w:sz w:val="24"/>
          <w:szCs w:val="24"/>
        </w:rPr>
        <w:t>Explainability in this system is supported through provenance and workflow tracing rather than relying only on model-generated explanations. The workflow-</w:t>
      </w:r>
      <w:proofErr w:type="spellStart"/>
      <w:r w:rsidRPr="008D403F">
        <w:rPr>
          <w:rFonts w:ascii="Arial" w:hAnsi="Arial" w:cs="Arial"/>
          <w:sz w:val="24"/>
          <w:szCs w:val="24"/>
        </w:rPr>
        <w:t>trace.json</w:t>
      </w:r>
      <w:proofErr w:type="spellEnd"/>
      <w:r w:rsidRPr="008D403F">
        <w:rPr>
          <w:rFonts w:ascii="Arial" w:hAnsi="Arial" w:cs="Arial"/>
          <w:sz w:val="24"/>
          <w:szCs w:val="24"/>
        </w:rPr>
        <w:t xml:space="preserve"> file records the plan, searches performed, failures encountered, evidence counts and stopping decisions, allowing a reviewer to inspect how the final output was produced.</w:t>
      </w:r>
    </w:p>
    <w:p w14:paraId="67E3F7CE" w14:textId="77777777" w:rsidR="0043083A" w:rsidRPr="008D403F" w:rsidRDefault="0043083A" w:rsidP="008D403F">
      <w:pPr>
        <w:spacing w:line="480" w:lineRule="auto"/>
        <w:jc w:val="both"/>
        <w:rPr>
          <w:rFonts w:ascii="Arial" w:hAnsi="Arial" w:cs="Arial"/>
          <w:sz w:val="24"/>
          <w:szCs w:val="24"/>
        </w:rPr>
      </w:pPr>
      <w:r w:rsidRPr="008D403F">
        <w:rPr>
          <w:rFonts w:ascii="Arial" w:hAnsi="Arial" w:cs="Arial"/>
          <w:sz w:val="24"/>
          <w:szCs w:val="24"/>
        </w:rPr>
        <w:t>The design also distinguishes syntactic validation from semantic safety. JSON schema validation can detect malformed model output, but structurally valid JSON may still contain unsafe or malicious instructions. Validation is therefore necessary, but it is not sufficient for trustworthy agent behaviour.</w:t>
      </w:r>
    </w:p>
    <w:p w14:paraId="2FA68FA0" w14:textId="77777777" w:rsidR="0043083A" w:rsidRPr="008D403F" w:rsidRDefault="0043083A" w:rsidP="008D403F">
      <w:pPr>
        <w:spacing w:line="480" w:lineRule="auto"/>
        <w:jc w:val="both"/>
        <w:rPr>
          <w:rFonts w:ascii="Arial" w:hAnsi="Arial" w:cs="Arial"/>
          <w:sz w:val="24"/>
          <w:szCs w:val="24"/>
        </w:rPr>
      </w:pPr>
      <w:r w:rsidRPr="008D403F">
        <w:rPr>
          <w:rFonts w:ascii="Arial" w:hAnsi="Arial" w:cs="Arial"/>
          <w:sz w:val="24"/>
          <w:szCs w:val="24"/>
        </w:rPr>
        <w:t>This distinction is important because NIST identifies prompt injection and data poisoning as information-security risks for generative AI systems, while OWASP Foundation (2025) similarly identifies prompt injection as a major LLM application risk (NIST, 2024; OWASP Foundation, 2025). The design therefore combines trusted retrieval sources, constrained tool access, provenance logging, failure traces and human review.</w:t>
      </w:r>
    </w:p>
    <w:p w14:paraId="78E879B1" w14:textId="59C55D97" w:rsidR="0043083A" w:rsidRPr="008D403F" w:rsidRDefault="00552143" w:rsidP="008D403F">
      <w:pPr>
        <w:spacing w:line="480" w:lineRule="auto"/>
        <w:jc w:val="both"/>
        <w:rPr>
          <w:rFonts w:ascii="Arial" w:hAnsi="Arial" w:cs="Arial"/>
          <w:sz w:val="24"/>
          <w:szCs w:val="24"/>
        </w:rPr>
      </w:pPr>
      <w:r w:rsidRPr="00552143">
        <w:rPr>
          <w:rFonts w:ascii="Arial" w:hAnsi="Arial" w:cs="Arial"/>
          <w:sz w:val="24"/>
          <w:szCs w:val="24"/>
        </w:rPr>
        <w:t>The workflow does not store credentials, secrets or user research data, and human oversight remains necessary before retrieved evidence is used academically.</w:t>
      </w:r>
      <w:r>
        <w:rPr>
          <w:rFonts w:ascii="Arial" w:hAnsi="Arial" w:cs="Arial"/>
          <w:sz w:val="24"/>
          <w:szCs w:val="24"/>
        </w:rPr>
        <w:t xml:space="preserve"> </w:t>
      </w:r>
      <w:r w:rsidR="0043083A" w:rsidRPr="008D403F">
        <w:rPr>
          <w:rFonts w:ascii="Arial" w:hAnsi="Arial" w:cs="Arial"/>
          <w:sz w:val="24"/>
          <w:szCs w:val="24"/>
        </w:rPr>
        <w:t>The responsible-design position is therefore that traceability, validation and bounded controls reduce risk, but they do not remove the need for human judgement.</w:t>
      </w:r>
    </w:p>
    <w:p w14:paraId="2098F904" w14:textId="77777777" w:rsidR="003E47E1"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t>Slide 8 - Testing and evaluation evidence</w:t>
      </w:r>
    </w:p>
    <w:p w14:paraId="2F1AC748" w14:textId="77777777" w:rsidR="00157B38" w:rsidRPr="00157B38" w:rsidRDefault="00157B38" w:rsidP="00157B38">
      <w:pPr>
        <w:spacing w:line="480" w:lineRule="auto"/>
        <w:jc w:val="both"/>
        <w:rPr>
          <w:rFonts w:ascii="Arial" w:hAnsi="Arial" w:cs="Arial"/>
          <w:sz w:val="24"/>
          <w:szCs w:val="24"/>
          <w:lang w:val="en-MT"/>
        </w:rPr>
      </w:pPr>
      <w:r w:rsidRPr="00157B38">
        <w:rPr>
          <w:rFonts w:ascii="Arial" w:hAnsi="Arial" w:cs="Arial"/>
          <w:sz w:val="24"/>
          <w:szCs w:val="24"/>
          <w:lang w:val="en-MT"/>
        </w:rPr>
        <w:t>The implementation was evaluated at three levels: software correctness, retrieval-ranking behaviour and planner resilience.</w:t>
      </w:r>
    </w:p>
    <w:p w14:paraId="315BD91E" w14:textId="77777777" w:rsidR="00157B38" w:rsidRPr="00157B38" w:rsidRDefault="00157B38" w:rsidP="00157B38">
      <w:pPr>
        <w:spacing w:line="480" w:lineRule="auto"/>
        <w:jc w:val="both"/>
        <w:rPr>
          <w:rFonts w:ascii="Arial" w:hAnsi="Arial" w:cs="Arial"/>
          <w:sz w:val="24"/>
          <w:szCs w:val="24"/>
          <w:lang w:val="en-MT"/>
        </w:rPr>
      </w:pPr>
      <w:r w:rsidRPr="00157B38">
        <w:rPr>
          <w:rFonts w:ascii="Arial" w:hAnsi="Arial" w:cs="Arial"/>
          <w:sz w:val="24"/>
          <w:szCs w:val="24"/>
          <w:lang w:val="en-MT"/>
        </w:rPr>
        <w:lastRenderedPageBreak/>
        <w:t>First, the automated test suite contains eight unit, workflow and functional tests, all of which passed. These tests cover planner validation, schema handling and fallback behaviour, duplicate removal and ranking order, enforcement of the three-cycle workflow bound, output persistence, the command-line entry point and generation of the three expected output files. This provides evidence that the implemented software behaves consistently across its main execution paths.</w:t>
      </w:r>
    </w:p>
    <w:p w14:paraId="2BA52413" w14:textId="77777777" w:rsidR="00157B38" w:rsidRPr="00157B38" w:rsidRDefault="00157B38" w:rsidP="00157B38">
      <w:pPr>
        <w:spacing w:line="480" w:lineRule="auto"/>
        <w:jc w:val="both"/>
        <w:rPr>
          <w:rFonts w:ascii="Arial" w:hAnsi="Arial" w:cs="Arial"/>
          <w:sz w:val="24"/>
          <w:szCs w:val="24"/>
          <w:lang w:val="en-MT"/>
        </w:rPr>
      </w:pPr>
      <w:r w:rsidRPr="00157B38">
        <w:rPr>
          <w:rFonts w:ascii="Arial" w:hAnsi="Arial" w:cs="Arial"/>
          <w:sz w:val="24"/>
          <w:szCs w:val="24"/>
          <w:lang w:val="en-MT"/>
        </w:rPr>
        <w:t>Second, I evaluated retrieval ranking using four labelled synthetic fixture queries. The mean Precision at one was 1.0, mean Precision at three was 0.5, and mean nDCG at three was 1.0. These results indicate that the highest-ranked item was consistently relevant in the controlled fixture, but the evaluation is deliberately limited. It supports only claims about the synthetic test fixture and should not be interpreted as evidence of real-world scholarly retrieval quality.</w:t>
      </w:r>
    </w:p>
    <w:p w14:paraId="7965AE03" w14:textId="77777777" w:rsidR="00157B38" w:rsidRPr="00157B38" w:rsidRDefault="00157B38" w:rsidP="00157B38">
      <w:pPr>
        <w:spacing w:line="480" w:lineRule="auto"/>
        <w:jc w:val="both"/>
        <w:rPr>
          <w:rFonts w:ascii="Arial" w:hAnsi="Arial" w:cs="Arial"/>
          <w:sz w:val="24"/>
          <w:szCs w:val="24"/>
          <w:lang w:val="en-MT"/>
        </w:rPr>
      </w:pPr>
      <w:r w:rsidRPr="00157B38">
        <w:rPr>
          <w:rFonts w:ascii="Arial" w:hAnsi="Arial" w:cs="Arial"/>
          <w:sz w:val="24"/>
          <w:szCs w:val="24"/>
          <w:lang w:val="en-MT"/>
        </w:rPr>
        <w:t>Third, the planner was exercised across ten iterations per mode. Rule-based planning and mocked valid Ollama responses produced schema-valid outputs in all ten iterations, while malformed or unavailable model conditions triggered the fallback mechanism in all ten cases. This demonstrates resilience and predictable failure handling.</w:t>
      </w:r>
    </w:p>
    <w:p w14:paraId="6F4EA9E0" w14:textId="2C60724D" w:rsidR="00157B38" w:rsidRPr="00157B38" w:rsidRDefault="00157B38" w:rsidP="00157B38">
      <w:pPr>
        <w:spacing w:line="480" w:lineRule="auto"/>
        <w:jc w:val="both"/>
        <w:rPr>
          <w:rFonts w:ascii="Arial" w:hAnsi="Arial" w:cs="Arial"/>
          <w:sz w:val="24"/>
          <w:szCs w:val="24"/>
          <w:lang w:val="en-MT"/>
        </w:rPr>
      </w:pPr>
      <w:r w:rsidRPr="00157B38">
        <w:rPr>
          <w:rFonts w:ascii="Arial" w:hAnsi="Arial" w:cs="Arial"/>
          <w:sz w:val="24"/>
          <w:szCs w:val="24"/>
          <w:lang w:val="en-MT"/>
        </w:rPr>
        <w:t>The planner benchmark is operational rather than comparative: it does not constitute a real quality comparison between Qwen, Mistral or Llama. Overall, the evaluation demonstrates software correctness and bounded behaviour, while keeping claims about retrieval and model quality appropriately limited (Sami et al., 2024; Bandi et al., 2025).</w:t>
      </w:r>
    </w:p>
    <w:p w14:paraId="3C735D20" w14:textId="77777777" w:rsidR="003E47E1"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lastRenderedPageBreak/>
        <w:t>Slide 9 - Demonstration evidence</w:t>
      </w:r>
    </w:p>
    <w:p w14:paraId="5C122D26" w14:textId="77777777" w:rsidR="000315C1" w:rsidRPr="000315C1" w:rsidRDefault="000315C1" w:rsidP="000315C1">
      <w:pPr>
        <w:spacing w:line="480" w:lineRule="auto"/>
        <w:jc w:val="both"/>
        <w:rPr>
          <w:rFonts w:ascii="Arial" w:hAnsi="Arial" w:cs="Arial"/>
          <w:sz w:val="24"/>
          <w:szCs w:val="24"/>
        </w:rPr>
      </w:pPr>
      <w:r w:rsidRPr="000315C1">
        <w:rPr>
          <w:rFonts w:ascii="Arial" w:hAnsi="Arial" w:cs="Arial"/>
          <w:sz w:val="24"/>
          <w:szCs w:val="24"/>
        </w:rPr>
        <w:t>This slide shows the reproducible artefacts generated by the implementation. In the offline demonstration run, the workflow retained three evidence records corresponding to explainable planning for autonomous research agents, risks and limitations of language-model research assistants, and evaluation of evidence retrieval in multi-agent systems.</w:t>
      </w:r>
    </w:p>
    <w:p w14:paraId="405AF50E" w14:textId="77777777" w:rsidR="000315C1" w:rsidRPr="000315C1" w:rsidRDefault="000315C1" w:rsidP="000315C1">
      <w:pPr>
        <w:spacing w:line="480" w:lineRule="auto"/>
        <w:jc w:val="both"/>
        <w:rPr>
          <w:rFonts w:ascii="Arial" w:hAnsi="Arial" w:cs="Arial"/>
          <w:sz w:val="24"/>
          <w:szCs w:val="24"/>
        </w:rPr>
      </w:pPr>
      <w:r w:rsidRPr="000315C1">
        <w:rPr>
          <w:rFonts w:ascii="Arial" w:hAnsi="Arial" w:cs="Arial"/>
          <w:sz w:val="24"/>
          <w:szCs w:val="24"/>
        </w:rPr>
        <w:t>The implementation generates three principal output files. research-report.md provides a human-readable ranked evidence report, while research-</w:t>
      </w:r>
      <w:proofErr w:type="spellStart"/>
      <w:r w:rsidRPr="000315C1">
        <w:rPr>
          <w:rFonts w:ascii="Arial" w:hAnsi="Arial" w:cs="Arial"/>
          <w:sz w:val="24"/>
          <w:szCs w:val="24"/>
        </w:rPr>
        <w:t>report.json</w:t>
      </w:r>
      <w:proofErr w:type="spellEnd"/>
      <w:r w:rsidRPr="000315C1">
        <w:rPr>
          <w:rFonts w:ascii="Arial" w:hAnsi="Arial" w:cs="Arial"/>
          <w:sz w:val="24"/>
          <w:szCs w:val="24"/>
        </w:rPr>
        <w:t xml:space="preserve"> preserves the same evidence in machine-readable structured form. The workflow-</w:t>
      </w:r>
      <w:proofErr w:type="spellStart"/>
      <w:r w:rsidRPr="000315C1">
        <w:rPr>
          <w:rFonts w:ascii="Arial" w:hAnsi="Arial" w:cs="Arial"/>
          <w:sz w:val="24"/>
          <w:szCs w:val="24"/>
        </w:rPr>
        <w:t>trace.json</w:t>
      </w:r>
      <w:proofErr w:type="spellEnd"/>
      <w:r w:rsidRPr="000315C1">
        <w:rPr>
          <w:rFonts w:ascii="Arial" w:hAnsi="Arial" w:cs="Arial"/>
          <w:sz w:val="24"/>
          <w:szCs w:val="24"/>
        </w:rPr>
        <w:t xml:space="preserve"> file records the plan, searches performed, failures encountered, evidence counts and stopping decisions, providing an inspectable record of how the workflow reached its result.</w:t>
      </w:r>
    </w:p>
    <w:p w14:paraId="7C77E34A" w14:textId="77777777" w:rsidR="000315C1" w:rsidRPr="000315C1" w:rsidRDefault="000315C1" w:rsidP="000315C1">
      <w:pPr>
        <w:spacing w:line="480" w:lineRule="auto"/>
        <w:jc w:val="both"/>
        <w:rPr>
          <w:rFonts w:ascii="Arial" w:hAnsi="Arial" w:cs="Arial"/>
          <w:sz w:val="24"/>
          <w:szCs w:val="24"/>
        </w:rPr>
      </w:pPr>
      <w:r w:rsidRPr="000315C1">
        <w:rPr>
          <w:rFonts w:ascii="Arial" w:hAnsi="Arial" w:cs="Arial"/>
          <w:sz w:val="24"/>
          <w:szCs w:val="24"/>
        </w:rPr>
        <w:t>The enhanced submission also generates two evaluation artefacts: retrieval-evaluation.md, which records the labelled retrieval-ranking results, and planner-benchmark.md, which records the planner resilience benchmark.</w:t>
      </w:r>
    </w:p>
    <w:p w14:paraId="15069F10" w14:textId="1E57797B" w:rsidR="000315C1" w:rsidRPr="000315C1" w:rsidRDefault="000315C1" w:rsidP="000315C1">
      <w:pPr>
        <w:spacing w:line="480" w:lineRule="auto"/>
        <w:jc w:val="both"/>
        <w:rPr>
          <w:rFonts w:ascii="Arial" w:hAnsi="Arial" w:cs="Arial"/>
          <w:sz w:val="24"/>
          <w:szCs w:val="24"/>
        </w:rPr>
      </w:pPr>
      <w:r w:rsidRPr="000315C1">
        <w:rPr>
          <w:rFonts w:ascii="Arial" w:hAnsi="Arial" w:cs="Arial"/>
          <w:sz w:val="24"/>
          <w:szCs w:val="24"/>
        </w:rPr>
        <w:t>Together, these artefacts provide evidence that the system executes reproducibly and that its outputs, decisions and evaluation results can be inspected after execution. This supports the Design Science principle that an implemented artefact should be demonstrated and evaluated against explicit objectives rather than described only conceptually (Peffers et al., 2007).</w:t>
      </w:r>
    </w:p>
    <w:p w14:paraId="15175356" w14:textId="77777777" w:rsidR="003E47E1"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lastRenderedPageBreak/>
        <w:t>Slide 10 - Critical evaluation and conclusion</w:t>
      </w:r>
    </w:p>
    <w:p w14:paraId="6F74E840" w14:textId="77777777" w:rsidR="00BA3FC1" w:rsidRPr="00BA3FC1" w:rsidRDefault="00BA3FC1" w:rsidP="00BA3FC1">
      <w:pPr>
        <w:spacing w:line="480" w:lineRule="auto"/>
        <w:jc w:val="both"/>
        <w:rPr>
          <w:rFonts w:ascii="Arial" w:hAnsi="Arial" w:cs="Arial"/>
          <w:sz w:val="24"/>
          <w:szCs w:val="24"/>
        </w:rPr>
      </w:pPr>
      <w:r w:rsidRPr="00BA3FC1">
        <w:rPr>
          <w:rFonts w:ascii="Arial" w:hAnsi="Arial" w:cs="Arial"/>
          <w:sz w:val="24"/>
          <w:szCs w:val="24"/>
        </w:rPr>
        <w:t>The final evaluation distinguishes clearly between what the implementation demonstrates and what remains unproven. The evidence establishes software correctness: all eight automated tests passed, the expected output files are generated consistently, planner schema validation and fallback behaviour operate repeatably, and workflow traces preserve source URLs, matched queries and stopping decisions for human review.</w:t>
      </w:r>
    </w:p>
    <w:p w14:paraId="72FEC36D" w14:textId="77777777" w:rsidR="00BA3FC1" w:rsidRPr="00BA3FC1" w:rsidRDefault="00BA3FC1" w:rsidP="00BA3FC1">
      <w:pPr>
        <w:spacing w:line="480" w:lineRule="auto"/>
        <w:jc w:val="both"/>
        <w:rPr>
          <w:rFonts w:ascii="Arial" w:hAnsi="Arial" w:cs="Arial"/>
          <w:sz w:val="24"/>
          <w:szCs w:val="24"/>
        </w:rPr>
      </w:pPr>
      <w:r w:rsidRPr="00BA3FC1">
        <w:rPr>
          <w:rFonts w:ascii="Arial" w:hAnsi="Arial" w:cs="Arial"/>
          <w:sz w:val="24"/>
          <w:szCs w:val="24"/>
        </w:rPr>
        <w:t xml:space="preserve">The implementation also constrains uncontrolled behaviour through a maximum of three refinement cycles. However, these results do not establish real-world retrieval quality. The evaluation used a small synthetic labelled fixture rather than a large scholarly benchmark, so I do not claim that the system provides complete literature-review coverage or that </w:t>
      </w:r>
      <w:proofErr w:type="spellStart"/>
      <w:r w:rsidRPr="00BA3FC1">
        <w:rPr>
          <w:rFonts w:ascii="Arial" w:hAnsi="Arial" w:cs="Arial"/>
          <w:sz w:val="24"/>
          <w:szCs w:val="24"/>
        </w:rPr>
        <w:t>OpenAlex</w:t>
      </w:r>
      <w:proofErr w:type="spellEnd"/>
      <w:r w:rsidRPr="00BA3FC1">
        <w:rPr>
          <w:rFonts w:ascii="Arial" w:hAnsi="Arial" w:cs="Arial"/>
          <w:sz w:val="24"/>
          <w:szCs w:val="24"/>
        </w:rPr>
        <w:t xml:space="preserve"> is comprehensive for every research topic.</w:t>
      </w:r>
    </w:p>
    <w:p w14:paraId="329C2742" w14:textId="77777777" w:rsidR="00BA3FC1" w:rsidRPr="00BA3FC1" w:rsidRDefault="00BA3FC1" w:rsidP="00BA3FC1">
      <w:pPr>
        <w:spacing w:line="480" w:lineRule="auto"/>
        <w:jc w:val="both"/>
        <w:rPr>
          <w:rFonts w:ascii="Arial" w:hAnsi="Arial" w:cs="Arial"/>
          <w:sz w:val="24"/>
          <w:szCs w:val="24"/>
        </w:rPr>
      </w:pPr>
      <w:r w:rsidRPr="00BA3FC1">
        <w:rPr>
          <w:rFonts w:ascii="Arial" w:hAnsi="Arial" w:cs="Arial"/>
          <w:sz w:val="24"/>
          <w:szCs w:val="24"/>
        </w:rPr>
        <w:t>Similarly, the planner benchmark demonstrates operational resilience rather than model superiority. There is no evidence from this implementation that qwen3:4b outperforms Mistral, Llama or hosted alternatives. Security controls also reduce, but do not eliminate, semantic risks such as prompt injection.</w:t>
      </w:r>
    </w:p>
    <w:p w14:paraId="718969D9" w14:textId="2B9ACFCB" w:rsidR="00BA3FC1" w:rsidRPr="00BA3FC1" w:rsidRDefault="00BA3FC1" w:rsidP="00BA3FC1">
      <w:pPr>
        <w:spacing w:line="480" w:lineRule="auto"/>
        <w:jc w:val="both"/>
        <w:rPr>
          <w:rFonts w:ascii="Arial" w:hAnsi="Arial" w:cs="Arial"/>
          <w:sz w:val="24"/>
          <w:szCs w:val="24"/>
        </w:rPr>
      </w:pPr>
      <w:r w:rsidRPr="00BA3FC1">
        <w:rPr>
          <w:rFonts w:ascii="Arial" w:hAnsi="Arial" w:cs="Arial"/>
          <w:sz w:val="24"/>
          <w:szCs w:val="24"/>
        </w:rPr>
        <w:t xml:space="preserve">Overall, the artefact demonstrates a bounded goal-to-plan-to-act-to-evaluate-to-output research workflow with provenance, explicit stopping rules and human oversight. Its strongest defensible claims are therefore software correctness, reproducibility and transparent evidence handling, rather than complete literature-review quality or superior LLM performance. This reflects the Design Science principle that an artefact should be </w:t>
      </w:r>
      <w:r w:rsidRPr="00BA3FC1">
        <w:rPr>
          <w:rFonts w:ascii="Arial" w:hAnsi="Arial" w:cs="Arial"/>
          <w:sz w:val="24"/>
          <w:szCs w:val="24"/>
        </w:rPr>
        <w:lastRenderedPageBreak/>
        <w:t>evaluated against explicit objectives and its claims kept within the evidence available (Peffers et al., 2007).</w:t>
      </w:r>
    </w:p>
    <w:p w14:paraId="74888AED" w14:textId="77777777" w:rsidR="003E47E1" w:rsidRPr="00520DFF" w:rsidRDefault="00000000" w:rsidP="00520DFF">
      <w:pPr>
        <w:pStyle w:val="Heading1"/>
        <w:spacing w:before="240" w:after="240" w:line="480" w:lineRule="auto"/>
        <w:jc w:val="both"/>
        <w:rPr>
          <w:rFonts w:ascii="Arial" w:hAnsi="Arial" w:cs="Arial"/>
          <w:sz w:val="24"/>
          <w:szCs w:val="24"/>
        </w:rPr>
      </w:pPr>
      <w:r w:rsidRPr="00520DFF">
        <w:rPr>
          <w:rFonts w:ascii="Arial" w:hAnsi="Arial" w:cs="Arial"/>
          <w:sz w:val="24"/>
          <w:szCs w:val="24"/>
        </w:rPr>
        <w:t>References</w:t>
      </w:r>
    </w:p>
    <w:p w14:paraId="3546A028" w14:textId="6A3EA7D3"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 xml:space="preserve">Bandi, A. et al. (2025) 'The rise of agentic AI: a review of definitions, frameworks, architectures, applications, evaluation metrics, and challenges', Future Internet, 17(9), 404. </w:t>
      </w:r>
      <w:hyperlink r:id="rId6" w:history="1">
        <w:r w:rsidR="00D77910" w:rsidRPr="002B0A2D">
          <w:rPr>
            <w:rStyle w:val="Hyperlink"/>
            <w:rFonts w:ascii="Arial" w:hAnsi="Arial" w:cs="Arial"/>
            <w:sz w:val="24"/>
            <w:szCs w:val="24"/>
          </w:rPr>
          <w:t>https://doi.org/10.3390/fi17090404</w:t>
        </w:r>
      </w:hyperlink>
      <w:r w:rsidRPr="00520DFF">
        <w:rPr>
          <w:rFonts w:ascii="Arial" w:hAnsi="Arial" w:cs="Arial"/>
          <w:sz w:val="24"/>
          <w:szCs w:val="24"/>
        </w:rPr>
        <w:t>.</w:t>
      </w:r>
      <w:r w:rsidR="00D77910">
        <w:rPr>
          <w:rFonts w:ascii="Arial" w:hAnsi="Arial" w:cs="Arial"/>
          <w:sz w:val="24"/>
          <w:szCs w:val="24"/>
        </w:rPr>
        <w:t xml:space="preserve"> </w:t>
      </w:r>
    </w:p>
    <w:p w14:paraId="717AF452" w14:textId="77777777" w:rsidR="003E47E1" w:rsidRDefault="00000000" w:rsidP="00520DFF">
      <w:pPr>
        <w:spacing w:line="480" w:lineRule="auto"/>
        <w:jc w:val="both"/>
        <w:rPr>
          <w:rFonts w:ascii="Arial" w:hAnsi="Arial" w:cs="Arial"/>
          <w:sz w:val="24"/>
          <w:szCs w:val="24"/>
        </w:rPr>
      </w:pPr>
      <w:r w:rsidRPr="00520DFF">
        <w:rPr>
          <w:rFonts w:ascii="Arial" w:hAnsi="Arial" w:cs="Arial"/>
          <w:sz w:val="24"/>
          <w:szCs w:val="24"/>
        </w:rPr>
        <w:t>Guo, T. et al. (2024) 'Large language model based multi-agents: a survey of progress and challenges', Proceedings of the Thirty-Third International Joint Conference on Artificial Intelligence, pp. 8048-8057.</w:t>
      </w:r>
    </w:p>
    <w:p w14:paraId="6A0B846E" w14:textId="0526D8D6" w:rsidR="00520DFF" w:rsidRPr="00520DFF" w:rsidRDefault="00520DFF" w:rsidP="00520DFF">
      <w:pPr>
        <w:spacing w:line="480" w:lineRule="auto"/>
        <w:jc w:val="both"/>
        <w:rPr>
          <w:rFonts w:ascii="Arial" w:hAnsi="Arial" w:cs="Arial"/>
          <w:sz w:val="24"/>
          <w:szCs w:val="24"/>
        </w:rPr>
      </w:pPr>
      <w:r w:rsidRPr="00520DFF">
        <w:rPr>
          <w:rFonts w:ascii="Arial" w:hAnsi="Arial" w:cs="Arial"/>
          <w:sz w:val="24"/>
          <w:szCs w:val="24"/>
        </w:rPr>
        <w:t xml:space="preserve">Group C (2026) </w:t>
      </w:r>
      <w:r w:rsidRPr="00520DFF">
        <w:rPr>
          <w:rFonts w:ascii="Arial" w:hAnsi="Arial" w:cs="Arial"/>
          <w:i/>
          <w:iCs/>
          <w:sz w:val="24"/>
          <w:szCs w:val="24"/>
        </w:rPr>
        <w:t>Design Proposal for an Academic and Information Gathering Multi-Agent Artificial Intelligence Tool</w:t>
      </w:r>
      <w:r w:rsidRPr="00520DFF">
        <w:rPr>
          <w:rFonts w:ascii="Arial" w:hAnsi="Arial" w:cs="Arial"/>
          <w:sz w:val="24"/>
          <w:szCs w:val="24"/>
        </w:rPr>
        <w:t>. University of Essex Online, Intelligent Agents module.</w:t>
      </w:r>
    </w:p>
    <w:p w14:paraId="14FBED2C" w14:textId="6DCBC4AA"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 xml:space="preserve">Huang, X., Liu, W., Chen, X., Wang, X., Wang, H., Lian, D., Wang, Y., Tang, R. and Chen, E. (2024) 'Understanding the planning of LLM agents: a survey', arXiv [Preprint]. Available at: </w:t>
      </w:r>
      <w:hyperlink r:id="rId7" w:history="1">
        <w:r w:rsidR="00D77910" w:rsidRPr="002B0A2D">
          <w:rPr>
            <w:rStyle w:val="Hyperlink"/>
            <w:rFonts w:ascii="Arial" w:hAnsi="Arial" w:cs="Arial"/>
            <w:sz w:val="24"/>
            <w:szCs w:val="24"/>
          </w:rPr>
          <w:t>https://doi.org/10.48550/arXiv.2402.02716</w:t>
        </w:r>
      </w:hyperlink>
      <w:r w:rsidRPr="00520DFF">
        <w:rPr>
          <w:rFonts w:ascii="Arial" w:hAnsi="Arial" w:cs="Arial"/>
          <w:sz w:val="24"/>
          <w:szCs w:val="24"/>
        </w:rPr>
        <w:t>.</w:t>
      </w:r>
      <w:r w:rsidR="00D77910">
        <w:rPr>
          <w:rFonts w:ascii="Arial" w:hAnsi="Arial" w:cs="Arial"/>
          <w:sz w:val="24"/>
          <w:szCs w:val="24"/>
        </w:rPr>
        <w:t xml:space="preserve"> </w:t>
      </w:r>
    </w:p>
    <w:p w14:paraId="1FC65C5F" w14:textId="77777777"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Lewis, P. et al. (2020) 'Retrieval-augmented generation for knowledge-intensive NLP tasks', Advances in Neural Information Processing Systems, 33, pp. 9459-9474.</w:t>
      </w:r>
    </w:p>
    <w:p w14:paraId="17D26282" w14:textId="36345AFF"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 xml:space="preserve">National Institute of Standards and Technology (2024) Artificial Intelligence Risk Management Framework: Generative Artificial Intelligence Profile. NIST AI 600-1. </w:t>
      </w:r>
      <w:hyperlink r:id="rId8" w:history="1">
        <w:r w:rsidR="00D77910" w:rsidRPr="002B0A2D">
          <w:rPr>
            <w:rStyle w:val="Hyperlink"/>
            <w:rFonts w:ascii="Arial" w:hAnsi="Arial" w:cs="Arial"/>
            <w:sz w:val="24"/>
            <w:szCs w:val="24"/>
          </w:rPr>
          <w:t>https://doi.org/10.6028/NIST.AI.600-1</w:t>
        </w:r>
      </w:hyperlink>
      <w:r w:rsidRPr="00520DFF">
        <w:rPr>
          <w:rFonts w:ascii="Arial" w:hAnsi="Arial" w:cs="Arial"/>
          <w:sz w:val="24"/>
          <w:szCs w:val="24"/>
        </w:rPr>
        <w:t>.</w:t>
      </w:r>
      <w:r w:rsidR="00D77910">
        <w:rPr>
          <w:rFonts w:ascii="Arial" w:hAnsi="Arial" w:cs="Arial"/>
          <w:sz w:val="24"/>
          <w:szCs w:val="24"/>
        </w:rPr>
        <w:t xml:space="preserve"> </w:t>
      </w:r>
    </w:p>
    <w:p w14:paraId="7D19DF54" w14:textId="13713E01"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 xml:space="preserve">OpenAlex (no date) API documentation. Available at: </w:t>
      </w:r>
      <w:hyperlink r:id="rId9" w:history="1">
        <w:r w:rsidR="00D77910" w:rsidRPr="002B0A2D">
          <w:rPr>
            <w:rStyle w:val="Hyperlink"/>
            <w:rFonts w:ascii="Arial" w:hAnsi="Arial" w:cs="Arial"/>
            <w:sz w:val="24"/>
            <w:szCs w:val="24"/>
          </w:rPr>
          <w:t>https://docs.openalex.org/</w:t>
        </w:r>
      </w:hyperlink>
      <w:r w:rsidR="00D77910">
        <w:rPr>
          <w:rFonts w:ascii="Arial" w:hAnsi="Arial" w:cs="Arial"/>
          <w:sz w:val="24"/>
          <w:szCs w:val="24"/>
        </w:rPr>
        <w:t xml:space="preserve"> </w:t>
      </w:r>
      <w:r w:rsidRPr="00520DFF">
        <w:rPr>
          <w:rFonts w:ascii="Arial" w:hAnsi="Arial" w:cs="Arial"/>
          <w:sz w:val="24"/>
          <w:szCs w:val="24"/>
        </w:rPr>
        <w:t xml:space="preserve"> [Accessed 30 September 2026].</w:t>
      </w:r>
    </w:p>
    <w:p w14:paraId="64998C01" w14:textId="77777777"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lastRenderedPageBreak/>
        <w:t>OWASP Foundation (2025) OWASP Top 10 for LLM Applications 2025. Available at: https://owasp.org/www-project-top-10-for-large-language-model-applications/ [Accessed 30 September 2026].</w:t>
      </w:r>
    </w:p>
    <w:p w14:paraId="719CF12E" w14:textId="77777777"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Peffers, K., Tuunanen, T., Rothenberger, M.A. and Chatterjee, S. (2007) 'A design science research methodology for information systems research', Journal of Management Information Systems, 24(3), pp. 45-77. https://doi.org/10.2753/MIS0742-1222240302.</w:t>
      </w:r>
    </w:p>
    <w:p w14:paraId="2CDD645A" w14:textId="77777777"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Russell, S. and Norvig, P. (2021) Artificial Intelligence: A Modern Approach. 4th edn. Harlow: Pearson.</w:t>
      </w:r>
    </w:p>
    <w:p w14:paraId="445FA716" w14:textId="588194C0" w:rsidR="003E47E1" w:rsidRDefault="00000000" w:rsidP="00520DFF">
      <w:pPr>
        <w:spacing w:line="480" w:lineRule="auto"/>
        <w:jc w:val="both"/>
        <w:rPr>
          <w:rFonts w:ascii="Arial" w:hAnsi="Arial" w:cs="Arial"/>
          <w:sz w:val="24"/>
          <w:szCs w:val="24"/>
        </w:rPr>
      </w:pPr>
      <w:r w:rsidRPr="00520DFF">
        <w:rPr>
          <w:rFonts w:ascii="Arial" w:hAnsi="Arial" w:cs="Arial"/>
          <w:sz w:val="24"/>
          <w:szCs w:val="24"/>
        </w:rPr>
        <w:t xml:space="preserve">Sami, A.M. et al. (2024) 'System for systematic literature review using multiple AI agents: concept and an empirical evaluation', arXiv [Preprint]. </w:t>
      </w:r>
      <w:hyperlink r:id="rId10" w:history="1">
        <w:r w:rsidR="001E5E27" w:rsidRPr="002B0A2D">
          <w:rPr>
            <w:rStyle w:val="Hyperlink"/>
            <w:rFonts w:ascii="Arial" w:hAnsi="Arial" w:cs="Arial"/>
            <w:sz w:val="24"/>
            <w:szCs w:val="24"/>
          </w:rPr>
          <w:t>https://doi.org/10.48550/arXiv.2403.08399</w:t>
        </w:r>
      </w:hyperlink>
      <w:r w:rsidRPr="00520DFF">
        <w:rPr>
          <w:rFonts w:ascii="Arial" w:hAnsi="Arial" w:cs="Arial"/>
          <w:sz w:val="24"/>
          <w:szCs w:val="24"/>
        </w:rPr>
        <w:t>.</w:t>
      </w:r>
    </w:p>
    <w:p w14:paraId="361BB642" w14:textId="627C5BC6" w:rsidR="001E5E27" w:rsidRPr="00520DFF" w:rsidRDefault="001E5E27" w:rsidP="00520DFF">
      <w:pPr>
        <w:spacing w:line="480" w:lineRule="auto"/>
        <w:jc w:val="both"/>
        <w:rPr>
          <w:rFonts w:ascii="Arial" w:hAnsi="Arial" w:cs="Arial"/>
          <w:sz w:val="24"/>
          <w:szCs w:val="24"/>
        </w:rPr>
      </w:pPr>
      <w:r w:rsidRPr="001E5E27">
        <w:rPr>
          <w:rFonts w:ascii="Arial" w:hAnsi="Arial" w:cs="Arial"/>
          <w:sz w:val="24"/>
          <w:szCs w:val="24"/>
        </w:rPr>
        <w:t>University of Essex Online (2026) Unit 11 final assignment brief. University of Essex Online.</w:t>
      </w:r>
    </w:p>
    <w:p w14:paraId="3E689078" w14:textId="77777777" w:rsidR="003E47E1" w:rsidRPr="00520DFF" w:rsidRDefault="00000000" w:rsidP="00520DFF">
      <w:pPr>
        <w:spacing w:line="480" w:lineRule="auto"/>
        <w:jc w:val="both"/>
        <w:rPr>
          <w:rFonts w:ascii="Arial" w:hAnsi="Arial" w:cs="Arial"/>
          <w:sz w:val="24"/>
          <w:szCs w:val="24"/>
        </w:rPr>
      </w:pPr>
      <w:r w:rsidRPr="00520DFF">
        <w:rPr>
          <w:rFonts w:ascii="Arial" w:hAnsi="Arial" w:cs="Arial"/>
          <w:sz w:val="24"/>
          <w:szCs w:val="24"/>
        </w:rPr>
        <w:t>Wooldridge, M. (2009) An Introduction to MultiAgent Systems. 2nd edn. Chichester: Wiley.</w:t>
      </w:r>
    </w:p>
    <w:sectPr w:rsidR="003E47E1" w:rsidRPr="00520DFF" w:rsidSect="00586FA5">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625282">
    <w:abstractNumId w:val="8"/>
  </w:num>
  <w:num w:numId="2" w16cid:durableId="1539584112">
    <w:abstractNumId w:val="6"/>
  </w:num>
  <w:num w:numId="3" w16cid:durableId="1534879373">
    <w:abstractNumId w:val="5"/>
  </w:num>
  <w:num w:numId="4" w16cid:durableId="1997487471">
    <w:abstractNumId w:val="4"/>
  </w:num>
  <w:num w:numId="5" w16cid:durableId="286742666">
    <w:abstractNumId w:val="7"/>
  </w:num>
  <w:num w:numId="6" w16cid:durableId="236014776">
    <w:abstractNumId w:val="3"/>
  </w:num>
  <w:num w:numId="7" w16cid:durableId="1335954195">
    <w:abstractNumId w:val="2"/>
  </w:num>
  <w:num w:numId="8" w16cid:durableId="764880851">
    <w:abstractNumId w:val="1"/>
  </w:num>
  <w:num w:numId="9" w16cid:durableId="1632800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C1"/>
    <w:rsid w:val="00034616"/>
    <w:rsid w:val="0006063C"/>
    <w:rsid w:val="0015074B"/>
    <w:rsid w:val="00157B38"/>
    <w:rsid w:val="001E5E27"/>
    <w:rsid w:val="0029639D"/>
    <w:rsid w:val="00326F90"/>
    <w:rsid w:val="003E47E1"/>
    <w:rsid w:val="0043083A"/>
    <w:rsid w:val="00457503"/>
    <w:rsid w:val="00520DFF"/>
    <w:rsid w:val="00552143"/>
    <w:rsid w:val="00586FA5"/>
    <w:rsid w:val="005F2529"/>
    <w:rsid w:val="006D5831"/>
    <w:rsid w:val="008007A0"/>
    <w:rsid w:val="0082732D"/>
    <w:rsid w:val="008D403F"/>
    <w:rsid w:val="00AA1D8D"/>
    <w:rsid w:val="00AD367F"/>
    <w:rsid w:val="00AE254C"/>
    <w:rsid w:val="00B47730"/>
    <w:rsid w:val="00B64742"/>
    <w:rsid w:val="00BA3FC1"/>
    <w:rsid w:val="00BC69D2"/>
    <w:rsid w:val="00CB0664"/>
    <w:rsid w:val="00CD723A"/>
    <w:rsid w:val="00D502ED"/>
    <w:rsid w:val="00D52D26"/>
    <w:rsid w:val="00D77910"/>
    <w:rsid w:val="00FA2644"/>
    <w:rsid w:val="00FC236D"/>
    <w:rsid w:val="00FC693F"/>
    <w:rsid w:val="00FE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851E3"/>
  <w14:defaultImageDpi w14:val="300"/>
  <w15:docId w15:val="{C1EEA3FD-0D77-6B46-B0D5-B95AC557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5E27"/>
    <w:rPr>
      <w:color w:val="0000FF" w:themeColor="hyperlink"/>
      <w:u w:val="single"/>
    </w:rPr>
  </w:style>
  <w:style w:type="character" w:styleId="UnresolvedMention">
    <w:name w:val="Unresolved Mention"/>
    <w:basedOn w:val="DefaultParagraphFont"/>
    <w:uiPriority w:val="99"/>
    <w:semiHidden/>
    <w:unhideWhenUsed/>
    <w:rsid w:val="001E5E27"/>
    <w:rPr>
      <w:color w:val="605E5C"/>
      <w:shd w:val="clear" w:color="auto" w:fill="E1DFDD"/>
    </w:rPr>
  </w:style>
  <w:style w:type="character" w:styleId="FollowedHyperlink">
    <w:name w:val="FollowedHyperlink"/>
    <w:basedOn w:val="DefaultParagraphFont"/>
    <w:uiPriority w:val="99"/>
    <w:semiHidden/>
    <w:unhideWhenUsed/>
    <w:rsid w:val="00D779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600-1" TargetMode="External"/><Relationship Id="rId3" Type="http://schemas.openxmlformats.org/officeDocument/2006/relationships/styles" Target="styles.xml"/><Relationship Id="rId7" Type="http://schemas.openxmlformats.org/officeDocument/2006/relationships/hyperlink" Target="https://doi.org/10.48550/arXiv.2402.0271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fi1709040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48550/arXiv.2403.08399" TargetMode="External"/><Relationship Id="rId4" Type="http://schemas.openxmlformats.org/officeDocument/2006/relationships/settings" Target="settings.xml"/><Relationship Id="rId9" Type="http://schemas.openxmlformats.org/officeDocument/2006/relationships/hyperlink" Target="https://docs.openalex.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11</Pages>
  <Words>2531</Words>
  <Characters>14428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Imoh Etuk</cp:lastModifiedBy>
  <cp:revision>14</cp:revision>
  <dcterms:created xsi:type="dcterms:W3CDTF">2013-12-23T23:15:00Z</dcterms:created>
  <dcterms:modified xsi:type="dcterms:W3CDTF">2026-10-10T05:44:00Z</dcterms:modified>
  <cp:category/>
</cp:coreProperties>
</file>