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Collaborative Discussion 1 – Agent-Based Systems</w:t>
      </w:r>
    </w:p>
    <w:p>
      <w:pPr>
        <w:pStyle w:val="Heading2"/>
      </w:pPr>
      <w:r>
        <w:t>Initial Post</w:t>
      </w:r>
    </w:p>
    <w:p>
      <w:pPr>
        <w:spacing w:after="120"/>
      </w:pPr>
      <w:r>
        <w:rPr>
          <w:sz w:val="24"/>
        </w:rPr>
        <w:t>The rise of agent-based systems is closely linked to five foundational trends in computing: ubiquity, interconnection, intelligence, delegation, and human-orientation (University of Essex Online, 2026). As computing has become increasingly embedded in everyday environments and interconnected across global networks, the demands placed on software have shifted dramatically. Systems can no longer be designed in isolation; they must operate continuously, adapt to dynamic conditions, and act on behalf of users without constant human oversight.</w:t>
      </w:r>
    </w:p>
    <w:p>
      <w:pPr>
        <w:spacing w:after="120"/>
      </w:pPr>
      <w:r>
        <w:rPr>
          <w:sz w:val="24"/>
        </w:rPr>
        <w:t>The trend towards delegation is particularly significant. Wooldridge (2009) argues that the need to delegate complex tasks to software systems — systems that can operate independently and pursue goals without direct supervision — is a primary driver of agent-based computing. Traditional software architectures, which execute fixed instructions, are poorly suited to this challenge. Agents, by contrast, are characterised by autonomy, reactivity, proactivity, and social ability, allowing them to perceive their environment and respond to changing conditions (Wooldridge &amp; Jennings, 1995).</w:t>
      </w:r>
    </w:p>
    <w:p>
      <w:pPr>
        <w:spacing w:after="120"/>
      </w:pPr>
      <w:r>
        <w:rPr>
          <w:sz w:val="24"/>
        </w:rPr>
        <w:t>Organisations benefit considerably from this paradigm. Agent-based systems enable automation of intricate workflows, support real-time decision-making in distributed environments, and facilitate negotiation and cooperation between heterogeneous systems (Jennings, 2000). In domains such as supply chain management, financial trading, and telecommunications, multi-agent systems have demonstrated measurable gains in efficiency and resilience.</w:t>
      </w:r>
    </w:p>
    <w:p>
      <w:pPr>
        <w:spacing w:after="120"/>
      </w:pPr>
      <w:r>
        <w:rPr>
          <w:sz w:val="24"/>
        </w:rPr>
        <w:t>In summary, the convergence of technological trends demanding intelligence and autonomy in software has made agent-based systems not merely useful, but increasingly essential for modern organisations.</w:t>
      </w:r>
    </w:p>
    <w:p/>
    <w:p>
      <w:r>
        <w:rPr>
          <w:b/>
        </w:rPr>
        <w:t>Word count: 217</w:t>
      </w:r>
    </w:p>
    <w:p>
      <w:pPr>
        <w:pStyle w:val="Heading2"/>
      </w:pPr>
      <w:r>
        <w:t>References</w:t>
      </w:r>
    </w:p>
    <w:p>
      <w:pPr>
        <w:pStyle w:val="ListBullet"/>
      </w:pPr>
      <w:r>
        <w:rPr>
          <w:sz w:val="22"/>
        </w:rPr>
        <w:t>Jennings, N.R. (2000) 'On agent-based software engineering', Artificial Intelligence, 117(2), pp. 277–296.</w:t>
      </w:r>
    </w:p>
    <w:p>
      <w:pPr>
        <w:pStyle w:val="ListBullet"/>
      </w:pPr>
      <w:r>
        <w:rPr>
          <w:sz w:val="22"/>
        </w:rPr>
        <w:t>University of Essex Online (2026) Introduction to Agent-Based Computing [Lecturecast]. MSc Computer Science. Colchester: University of Essex Online. Available at: https://www.my-course.co.uk/mod/scorm/player.php?a=25559 (Accessed: 3 August 2026).</w:t>
      </w:r>
    </w:p>
    <w:p>
      <w:pPr>
        <w:pStyle w:val="ListBullet"/>
      </w:pPr>
      <w:r>
        <w:rPr>
          <w:sz w:val="22"/>
        </w:rPr>
        <w:t>Wooldridge, M.J. (2009) An Introduction to Multiagent Systems. 2nd edn. Chichester: John Wiley &amp; Sons.</w:t>
      </w:r>
    </w:p>
    <w:p>
      <w:pPr>
        <w:pStyle w:val="ListBullet"/>
      </w:pPr>
      <w:r>
        <w:rPr>
          <w:sz w:val="22"/>
        </w:rPr>
        <w:t>Wooldridge, M.J. and Jennings, N.R. (1995) 'Intelligent agents: Theory and practice', The Knowledge Engineering Review, 10(2), pp. 115–152.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