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  <w:bidi/>
      </w:pPr>
      <w:r>
        <w:rPr>
          <w:b/>
          <w:sz w:val="40"/>
          <w:rtl/>
          <w:rFonts w:cs="Traditional Arabic"/>
          <w:szCs w:val="40"/>
          <w:bCs/>
        </w:rPr>
        <w:t>مِنْ فَضْلِ الْعِلْمِ</w:t>
      </w:r>
    </w:p>
    <w:p>
      <w:pPr>
        <w:spacing w:after="200"/>
        <w:jc w:val="right"/>
        <w:bidi/>
      </w:pPr>
      <w:r>
        <w:rPr>
          <w:b w:val="0"/>
          <w:sz w:val="32"/>
          <w:rtl/>
          <w:rFonts w:cs="Traditional Arabic"/>
          <w:szCs w:val="32"/>
        </w:rPr>
        <w:t>عَنْ أَبِي هُرَيْرَةَ رَضِيَ اللَّهُ عَنْهُ أَنَّ رَسُولَ اللَّهِ صَلَّى اللَّهُ عَلَيْهِ وَسَلَّمَ قَالَ: مَنْ سَلَكَ طَرِيقًا يَلْتَمِسُ فِيهِ عِلْمًا سَهَّلَ اللَّهُ لَهُ بِهِ طَرِيقًا إِلَى الْجَنَّةِ. رَوَاهُ مُسْلِمٌ.</w:t>
      </w:r>
    </w:p>
    <w:p>
      <w:pPr>
        <w:spacing w:after="200"/>
        <w:jc w:val="right"/>
        <w:bidi/>
      </w:pPr>
      <w:r>
        <w:rPr>
          <w:b w:val="0"/>
          <w:sz w:val="32"/>
          <w:rtl/>
          <w:rFonts w:cs="Traditional Arabic"/>
          <w:szCs w:val="32"/>
        </w:rPr>
        <w:t>وَعَنْهُ أَنَّ رَسُولَ اللَّهِ صَلَّى اللَّهُ عَلَيْهِ وَسَلَّمَ قَالَ: إذَا مَاتَ الْإِنْسَانُ انْقَطَعَ عَنْهُ عَمَلُهُ إلَّا مِنْ ثَلَاثَةٍ: إلَّا مِنْ صَدَقَةٍ جَارِيَةٍ، أَوْ عِلْمٍ يُنْتَفَعُ بِهِ، أَوْ وَلَدٍ صَالِحٍ يَدْعُو لَهُ. رَوَاهُ مُسْلِمٌ.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