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2"/>
        <w:keepNext w:val="0"/>
        <w:keepLines w:val="0"/>
        <w:spacing w:before="0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VideoFlick Data Governance Framework (1997-2000s)</w:t>
      </w:r>
    </w:p>
    <w:p>
      <w:pPr>
        <w:spacing w:before="240" w:after="240"/>
      </w:pPr>
      <w:r>
        <w:rPr>
          <w:b/>
          <w:bCs/>
        </w:rPr>
        <w:t>Page 1: Introduction &amp; Governance Structure</w:t>
      </w:r>
    </w:p>
    <w:p>
      <w:pPr>
        <w:spacing w:before="240" w:after="240"/>
      </w:pPr>
      <w:r>
        <w:rPr>
          <w:b/>
          <w:bCs/>
        </w:rPr>
        <w:t>1. Introduction:</w:t>
      </w:r>
    </w:p>
    <w:p>
      <w:pPr>
        <w:spacing w:before="240" w:after="240"/>
      </w:pPr>
      <w:r>
        <w:t>VideoFlick anticipates growth and the shift from manual Excel-based record-keeping to a relational database system, and it recognizes the critical need for a robust data governance framework. This framework aims to ensure data accuracy, consistency, security, and usability, supporting operational efficiency and data-driven decision-making as the company expands. This document outlines the core principles, structure, and initial policies for VideoFlick's data governance program during its transition from VHS rentals to a scalable database system.</w:t>
      </w:r>
    </w:p>
    <w:p>
      <w:pPr>
        <w:spacing w:before="240" w:after="240"/>
      </w:pPr>
      <w:r>
        <w:rPr>
          <w:b/>
          <w:bCs/>
        </w:rPr>
        <w:t>2. Guiding Principles:</w:t>
      </w:r>
    </w:p>
    <w:p>
      <w:pPr>
        <w:numPr>
          <w:ilvl w:val="0"/>
          <w:numId w:val="1"/>
        </w:numPr>
        <w:spacing w:before="240"/>
        <w:ind w:left="720" w:hanging="329"/>
        <w:jc w:val="left"/>
      </w:pPr>
      <w:r>
        <w:rPr>
          <w:b/>
          <w:bCs/>
        </w:rPr>
        <w:t>Accuracy:</w:t>
      </w:r>
      <w:r>
        <w:t xml:space="preserve"> Data must accurately reflect rental transactions, customer information, and movie inventory.</w:t>
      </w:r>
    </w:p>
    <w:p>
      <w:pPr>
        <w:numPr>
          <w:ilvl w:val="0"/>
          <w:numId w:val="1"/>
        </w:numPr>
        <w:ind w:left="720" w:hanging="329"/>
        <w:jc w:val="left"/>
      </w:pPr>
      <w:r>
        <w:rPr>
          <w:b/>
          <w:bCs/>
        </w:rPr>
        <w:t>Consistency:</w:t>
      </w:r>
      <w:r>
        <w:t xml:space="preserve"> Standardized data definitions and formats will be enforced across the new database.</w:t>
      </w:r>
    </w:p>
    <w:p>
      <w:pPr>
        <w:numPr>
          <w:ilvl w:val="0"/>
          <w:numId w:val="1"/>
        </w:numPr>
        <w:ind w:left="720" w:hanging="329"/>
        <w:jc w:val="left"/>
      </w:pPr>
      <w:r>
        <w:rPr>
          <w:b/>
          <w:bCs/>
        </w:rPr>
        <w:t>Accessibility:</w:t>
      </w:r>
      <w:r>
        <w:t xml:space="preserve"> Authorized personnel must have timely access to relevant data for operational and analytical purposes.</w:t>
      </w:r>
    </w:p>
    <w:p>
      <w:pPr>
        <w:numPr>
          <w:ilvl w:val="0"/>
          <w:numId w:val="1"/>
        </w:numPr>
        <w:ind w:left="720" w:hanging="329"/>
        <w:jc w:val="left"/>
      </w:pPr>
      <w:r>
        <w:rPr>
          <w:b/>
          <w:bCs/>
        </w:rPr>
        <w:t>Security:</w:t>
      </w:r>
      <w:r>
        <w:t xml:space="preserve"> Customer data and transaction records must be protected from unauthorized access and modification.</w:t>
      </w:r>
    </w:p>
    <w:p>
      <w:pPr>
        <w:numPr>
          <w:ilvl w:val="0"/>
          <w:numId w:val="1"/>
        </w:numPr>
        <w:ind w:left="720" w:hanging="329"/>
        <w:jc w:val="left"/>
      </w:pPr>
      <w:r>
        <w:rPr>
          <w:b/>
          <w:bCs/>
        </w:rPr>
        <w:t>Accountability:</w:t>
      </w:r>
      <w:r>
        <w:t xml:space="preserve"> Clear roles and responsibilities for data management will be established.</w:t>
      </w:r>
    </w:p>
    <w:p>
      <w:pPr>
        <w:numPr>
          <w:ilvl w:val="0"/>
          <w:numId w:val="1"/>
        </w:numPr>
        <w:ind w:left="720" w:hanging="329"/>
        <w:jc w:val="left"/>
      </w:pPr>
      <w:r>
        <w:rPr>
          <w:b/>
          <w:bCs/>
        </w:rPr>
        <w:t>Compliance:</w:t>
      </w:r>
      <w:r>
        <w:t xml:space="preserve"> The system will adhere to applicable privacy regulations (e.g., essential customer data protection).</w:t>
      </w:r>
    </w:p>
    <w:p>
      <w:pPr>
        <w:numPr>
          <w:ilvl w:val="0"/>
          <w:numId w:val="1"/>
        </w:numPr>
        <w:spacing w:after="240"/>
        <w:ind w:left="720" w:hanging="329"/>
        <w:jc w:val="left"/>
      </w:pPr>
      <w:r>
        <w:rPr>
          <w:b/>
          <w:bCs/>
        </w:rPr>
        <w:t>Future-Proofing:</w:t>
      </w:r>
      <w:r>
        <w:t xml:space="preserve"> The framework will accommodate future growth and technological advancements.</w:t>
      </w:r>
    </w:p>
    <w:p>
      <w:pPr>
        <w:spacing w:before="240" w:after="240"/>
      </w:pPr>
      <w:r>
        <w:rPr>
          <w:b/>
          <w:bCs/>
        </w:rPr>
        <w:t>3. Governance Structure:</w:t>
      </w:r>
    </w:p>
    <w:p>
      <w:pPr>
        <w:numPr>
          <w:ilvl w:val="0"/>
          <w:numId w:val="2"/>
        </w:numPr>
        <w:spacing w:before="240"/>
        <w:ind w:left="720" w:hanging="329"/>
        <w:jc w:val="left"/>
      </w:pPr>
      <w:r>
        <w:rPr>
          <w:b/>
          <w:bCs/>
        </w:rPr>
        <w:t>Data Governance Committee:</w:t>
      </w:r>
      <w:r>
        <w:t xml:space="preserve"> Composed of: </w:t>
      </w:r>
    </w:p>
    <w:p>
      <w:pPr>
        <w:numPr>
          <w:ilvl w:val="1"/>
          <w:numId w:val="2"/>
        </w:numPr>
        <w:ind w:left="1440" w:hanging="329"/>
        <w:jc w:val="left"/>
      </w:pPr>
      <w:r>
        <w:t>Store Manager (Chair)</w:t>
      </w:r>
    </w:p>
    <w:p>
      <w:pPr>
        <w:numPr>
          <w:ilvl w:val="1"/>
          <w:numId w:val="2"/>
        </w:numPr>
        <w:ind w:left="1440" w:hanging="329"/>
        <w:jc w:val="left"/>
      </w:pPr>
      <w:r>
        <w:t>Programming Team Lead</w:t>
      </w:r>
    </w:p>
    <w:p>
      <w:pPr>
        <w:numPr>
          <w:ilvl w:val="1"/>
          <w:numId w:val="2"/>
        </w:numPr>
        <w:ind w:left="1440" w:hanging="329"/>
        <w:jc w:val="left"/>
      </w:pPr>
      <w:r>
        <w:t>Designated Employee Representative(s)</w:t>
      </w:r>
    </w:p>
    <w:p>
      <w:pPr>
        <w:numPr>
          <w:ilvl w:val="0"/>
          <w:numId w:val="2"/>
        </w:numPr>
        <w:ind w:left="720" w:hanging="329"/>
        <w:jc w:val="left"/>
      </w:pPr>
      <w:r>
        <w:t xml:space="preserve">Responsibilities: </w:t>
      </w:r>
    </w:p>
    <w:p>
      <w:pPr>
        <w:numPr>
          <w:ilvl w:val="1"/>
          <w:numId w:val="2"/>
        </w:numPr>
        <w:ind w:left="1440" w:hanging="329"/>
        <w:jc w:val="left"/>
      </w:pPr>
      <w:r>
        <w:t>Develop and maintain data governance policies and procedures.</w:t>
      </w:r>
    </w:p>
    <w:p>
      <w:pPr>
        <w:numPr>
          <w:ilvl w:val="1"/>
          <w:numId w:val="2"/>
        </w:numPr>
        <w:ind w:left="1440" w:hanging="329"/>
        <w:jc w:val="left"/>
      </w:pPr>
      <w:r>
        <w:t>Oversee data quality initiatives.</w:t>
      </w:r>
    </w:p>
    <w:p>
      <w:pPr>
        <w:numPr>
          <w:ilvl w:val="1"/>
          <w:numId w:val="2"/>
        </w:numPr>
        <w:ind w:left="1440" w:hanging="329"/>
        <w:jc w:val="left"/>
      </w:pPr>
      <w:r>
        <w:t>Resolve data-related disputes.</w:t>
      </w:r>
    </w:p>
    <w:p>
      <w:pPr>
        <w:numPr>
          <w:ilvl w:val="1"/>
          <w:numId w:val="2"/>
        </w:numPr>
        <w:ind w:left="1440" w:hanging="329"/>
        <w:jc w:val="left"/>
      </w:pPr>
      <w:r>
        <w:t>Approve data access requests.</w:t>
      </w:r>
    </w:p>
    <w:p>
      <w:pPr>
        <w:numPr>
          <w:ilvl w:val="1"/>
          <w:numId w:val="2"/>
        </w:numPr>
        <w:ind w:left="1440" w:hanging="329"/>
        <w:jc w:val="left"/>
      </w:pPr>
      <w:r>
        <w:t>Monitor compliance with data governance policies.</w:t>
      </w:r>
    </w:p>
    <w:p>
      <w:pPr>
        <w:numPr>
          <w:ilvl w:val="0"/>
          <w:numId w:val="2"/>
        </w:numPr>
        <w:ind w:left="720" w:hanging="329"/>
        <w:jc w:val="left"/>
      </w:pPr>
      <w:r>
        <w:rPr>
          <w:b/>
          <w:bCs/>
        </w:rPr>
        <w:t>Data Custodians:</w:t>
      </w:r>
      <w:r>
        <w:t xml:space="preserve"> Employees responsible for data entry and maintenance in the new database.</w:t>
      </w:r>
    </w:p>
    <w:p>
      <w:pPr>
        <w:numPr>
          <w:ilvl w:val="0"/>
          <w:numId w:val="2"/>
        </w:numPr>
        <w:ind w:left="720" w:hanging="329"/>
        <w:jc w:val="left"/>
      </w:pPr>
      <w:r>
        <w:t xml:space="preserve">Responsibilities: </w:t>
      </w:r>
    </w:p>
    <w:p>
      <w:pPr>
        <w:numPr>
          <w:ilvl w:val="1"/>
          <w:numId w:val="2"/>
        </w:numPr>
        <w:ind w:left="1440" w:hanging="329"/>
        <w:jc w:val="left"/>
      </w:pPr>
      <w:r>
        <w:t>Accurate and timely data entry.</w:t>
      </w:r>
    </w:p>
    <w:p>
      <w:pPr>
        <w:numPr>
          <w:ilvl w:val="1"/>
          <w:numId w:val="2"/>
        </w:numPr>
        <w:ind w:left="1440" w:hanging="329"/>
        <w:jc w:val="left"/>
      </w:pPr>
      <w:r>
        <w:t>Reporting data quality issues.</w:t>
      </w:r>
    </w:p>
    <w:p>
      <w:pPr>
        <w:numPr>
          <w:ilvl w:val="1"/>
          <w:numId w:val="2"/>
        </w:numPr>
        <w:ind w:left="1440" w:hanging="329"/>
        <w:jc w:val="left"/>
      </w:pPr>
      <w:r>
        <w:t>Adhering to data entry standards.</w:t>
      </w:r>
    </w:p>
    <w:p>
      <w:pPr>
        <w:numPr>
          <w:ilvl w:val="0"/>
          <w:numId w:val="2"/>
        </w:numPr>
        <w:ind w:left="720" w:hanging="329"/>
        <w:jc w:val="left"/>
      </w:pPr>
      <w:r>
        <w:rPr>
          <w:b/>
          <w:bCs/>
        </w:rPr>
        <w:t>Programming Team:</w:t>
      </w:r>
      <w:r>
        <w:t xml:space="preserve">Responsibilities: </w:t>
      </w:r>
    </w:p>
    <w:p>
      <w:pPr>
        <w:numPr>
          <w:ilvl w:val="1"/>
          <w:numId w:val="2"/>
        </w:numPr>
        <w:ind w:left="1440" w:hanging="329"/>
        <w:jc w:val="left"/>
      </w:pPr>
      <w:r>
        <w:t>Designing and implementing the database system.</w:t>
      </w:r>
    </w:p>
    <w:p>
      <w:pPr>
        <w:numPr>
          <w:ilvl w:val="1"/>
          <w:numId w:val="2"/>
        </w:numPr>
        <w:ind w:left="1440" w:hanging="329"/>
        <w:jc w:val="left"/>
      </w:pPr>
      <w:r>
        <w:t>Implementing data security measures.</w:t>
      </w:r>
    </w:p>
    <w:p>
      <w:pPr>
        <w:numPr>
          <w:ilvl w:val="1"/>
          <w:numId w:val="2"/>
        </w:numPr>
        <w:ind w:left="1440" w:hanging="329"/>
        <w:jc w:val="left"/>
      </w:pPr>
      <w:r>
        <w:t>Providing technical support for data governance initiatives.</w:t>
      </w:r>
    </w:p>
    <w:p>
      <w:pPr>
        <w:numPr>
          <w:ilvl w:val="1"/>
          <w:numId w:val="2"/>
        </w:numPr>
        <w:spacing w:after="240"/>
        <w:ind w:left="1440" w:hanging="329"/>
        <w:jc w:val="left"/>
      </w:pPr>
      <w:r>
        <w:t>Enforcing data validation rules within the database.</w:t>
      </w:r>
    </w:p>
    <w:p>
      <w:pPr>
        <w:spacing w:before="240" w:after="240"/>
      </w:pPr>
      <w:r>
        <w:rPr>
          <w:b/>
          <w:bCs/>
        </w:rPr>
        <w:t>4. Initial Roles and Responsibilities:</w:t>
      </w:r>
    </w:p>
    <w:p>
      <w:pPr>
        <w:spacing w:before="240" w:after="240"/>
      </w:pPr>
      <w:r>
        <w:t>| Role | Responsibilities -</w:t>
      </w:r>
    </w:p>
    <w:p>
      <w:pPr>
        <w:spacing w:before="240" w:after="240"/>
      </w:pPr>
      <w:r>
        <w:t>| Data Governance Committee | Overall data governance strategy, policy development, dispute resolution.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customStyle="1" w:styleId="ql-ui">
    <w:name w:val="ql-ui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