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E53B" w14:textId="2DEEC8B7" w:rsidR="00C76CAB" w:rsidRDefault="3E9AC0D9" w:rsidP="2BAE34BB">
      <w:pPr>
        <w:jc w:val="center"/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2</w:t>
      </w:r>
      <w:r w:rsidR="1E30F175" w:rsidRPr="49572639">
        <w:rPr>
          <w:rFonts w:ascii="Aptos" w:eastAsia="Aptos" w:hAnsi="Aptos" w:cs="Aptos"/>
          <w:color w:val="000000" w:themeColor="text1"/>
        </w:rPr>
        <w:t>B</w:t>
      </w:r>
      <w:r w:rsidRPr="49572639">
        <w:rPr>
          <w:rFonts w:ascii="Aptos" w:eastAsia="Aptos" w:hAnsi="Aptos" w:cs="Aptos"/>
          <w:color w:val="000000" w:themeColor="text1"/>
        </w:rPr>
        <w:t xml:space="preserve">. Obtaining </w:t>
      </w:r>
      <w:r w:rsidR="002565C6" w:rsidRPr="49572639">
        <w:rPr>
          <w:rFonts w:ascii="Aptos" w:eastAsia="Aptos" w:hAnsi="Aptos" w:cs="Aptos"/>
          <w:color w:val="000000" w:themeColor="text1"/>
        </w:rPr>
        <w:t xml:space="preserve">Other </w:t>
      </w:r>
      <w:r w:rsidRPr="49572639">
        <w:rPr>
          <w:rFonts w:ascii="Aptos" w:eastAsia="Aptos" w:hAnsi="Aptos" w:cs="Aptos"/>
          <w:color w:val="000000" w:themeColor="text1"/>
        </w:rPr>
        <w:t>Spatial Data</w:t>
      </w:r>
      <w:r w:rsidR="002565C6" w:rsidRPr="49572639">
        <w:rPr>
          <w:rFonts w:ascii="Aptos" w:eastAsia="Aptos" w:hAnsi="Aptos" w:cs="Aptos"/>
          <w:color w:val="000000" w:themeColor="text1"/>
        </w:rPr>
        <w:t xml:space="preserve"> to Map</w:t>
      </w:r>
    </w:p>
    <w:p w14:paraId="5E40FB30" w14:textId="002BF4C4" w:rsidR="72F5954C" w:rsidRDefault="72F5954C" w:rsidP="49572639">
      <w:pPr>
        <w:rPr>
          <w:rFonts w:ascii="Aptos" w:eastAsia="Aptos" w:hAnsi="Aptos" w:cs="Aptos"/>
          <w:color w:val="000000" w:themeColor="text1"/>
        </w:rPr>
      </w:pPr>
      <w:r w:rsidRPr="207DB868">
        <w:rPr>
          <w:rFonts w:ascii="Aptos" w:eastAsia="Aptos" w:hAnsi="Aptos" w:cs="Aptos"/>
          <w:color w:val="000000" w:themeColor="text1"/>
        </w:rPr>
        <w:t xml:space="preserve">A decision should be made on whether to include other spatial data in </w:t>
      </w:r>
      <w:r w:rsidR="117C6EF3" w:rsidRPr="207DB868">
        <w:rPr>
          <w:rFonts w:ascii="Aptos" w:eastAsia="Aptos" w:hAnsi="Aptos" w:cs="Aptos"/>
          <w:color w:val="000000" w:themeColor="text1"/>
        </w:rPr>
        <w:t>the</w:t>
      </w:r>
      <w:r w:rsidRPr="207DB868">
        <w:rPr>
          <w:rFonts w:ascii="Aptos" w:eastAsia="Aptos" w:hAnsi="Aptos" w:cs="Aptos"/>
          <w:color w:val="000000" w:themeColor="text1"/>
        </w:rPr>
        <w:t xml:space="preserve"> map</w:t>
      </w:r>
      <w:r w:rsidR="3D167A6F" w:rsidRPr="207DB868">
        <w:rPr>
          <w:rFonts w:ascii="Aptos" w:eastAsia="Aptos" w:hAnsi="Aptos" w:cs="Aptos"/>
          <w:color w:val="000000" w:themeColor="text1"/>
        </w:rPr>
        <w:t xml:space="preserve"> that would aid in </w:t>
      </w:r>
      <w:r w:rsidR="09333B71" w:rsidRPr="207DB868">
        <w:rPr>
          <w:rFonts w:ascii="Aptos" w:eastAsia="Aptos" w:hAnsi="Aptos" w:cs="Aptos"/>
          <w:color w:val="000000" w:themeColor="text1"/>
        </w:rPr>
        <w:t>understanding</w:t>
      </w:r>
      <w:r w:rsidR="3D167A6F" w:rsidRPr="207DB868">
        <w:rPr>
          <w:rFonts w:ascii="Aptos" w:eastAsia="Aptos" w:hAnsi="Aptos" w:cs="Aptos"/>
          <w:color w:val="000000" w:themeColor="text1"/>
        </w:rPr>
        <w:t xml:space="preserve"> the spread and establishment of the pest. As the 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framework of code currently stands, one can easily input </w:t>
      </w:r>
      <w:r w:rsidR="0C218F4F" w:rsidRPr="207DB868">
        <w:rPr>
          <w:rFonts w:ascii="Aptos" w:eastAsia="Aptos" w:hAnsi="Aptos" w:cs="Aptos"/>
          <w:color w:val="000000" w:themeColor="text1"/>
        </w:rPr>
        <w:t>shapefiles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 and geojsons and with some alteration of the code, tifs can be </w:t>
      </w:r>
      <w:r w:rsidR="252554C8" w:rsidRPr="207DB868">
        <w:rPr>
          <w:rFonts w:ascii="Aptos" w:eastAsia="Aptos" w:hAnsi="Aptos" w:cs="Aptos"/>
          <w:color w:val="000000" w:themeColor="text1"/>
        </w:rPr>
        <w:t>accommodated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 as well.</w:t>
      </w:r>
    </w:p>
    <w:p w14:paraId="7856A902" w14:textId="68E6E37A" w:rsidR="2BF9A3B7" w:rsidRDefault="529B3390" w:rsidP="49572639">
      <w:pPr>
        <w:rPr>
          <w:rFonts w:ascii="Aptos" w:eastAsia="Aptos" w:hAnsi="Aptos" w:cs="Aptos"/>
          <w:color w:val="000000" w:themeColor="text1"/>
        </w:rPr>
      </w:pPr>
      <w:r w:rsidRPr="207DB868">
        <w:rPr>
          <w:rFonts w:ascii="Aptos" w:eastAsia="Aptos" w:hAnsi="Aptos" w:cs="Aptos"/>
          <w:color w:val="000000" w:themeColor="text1"/>
        </w:rPr>
        <w:t>This example will</w:t>
      </w:r>
      <w:r w:rsidR="2BF9A3B7" w:rsidRPr="207DB868">
        <w:rPr>
          <w:rFonts w:ascii="Aptos" w:eastAsia="Aptos" w:hAnsi="Aptos" w:cs="Aptos"/>
          <w:color w:val="000000" w:themeColor="text1"/>
        </w:rPr>
        <w:t xml:space="preserve"> include several spatial features as seen in </w:t>
      </w:r>
      <w:r w:rsidR="6D7FC7D8" w:rsidRPr="207DB868">
        <w:rPr>
          <w:rFonts w:ascii="Aptos" w:eastAsia="Aptos" w:hAnsi="Aptos" w:cs="Aptos"/>
          <w:color w:val="000000" w:themeColor="text1"/>
        </w:rPr>
        <w:t>the</w:t>
      </w:r>
      <w:r w:rsidR="2BF9A3B7" w:rsidRPr="207DB868">
        <w:rPr>
          <w:rFonts w:ascii="Aptos" w:eastAsia="Aptos" w:hAnsi="Aptos" w:cs="Aptos"/>
          <w:color w:val="000000" w:themeColor="text1"/>
        </w:rPr>
        <w:t xml:space="preserve"> spotted lanternfly pestHubMap. The decisions to include these layers were made in</w:t>
      </w:r>
      <w:r w:rsidR="46B6D30C" w:rsidRPr="207DB868">
        <w:rPr>
          <w:rFonts w:ascii="Aptos" w:eastAsia="Aptos" w:hAnsi="Aptos" w:cs="Aptos"/>
          <w:color w:val="000000" w:themeColor="text1"/>
        </w:rPr>
        <w:t xml:space="preserve"> conversation with stakeholders and their needs to be able to </w:t>
      </w:r>
      <w:r w:rsidR="37A0A5FD" w:rsidRPr="207DB868">
        <w:rPr>
          <w:rFonts w:ascii="Aptos" w:eastAsia="Aptos" w:hAnsi="Aptos" w:cs="Aptos"/>
          <w:color w:val="000000" w:themeColor="text1"/>
        </w:rPr>
        <w:t>identify</w:t>
      </w:r>
      <w:r w:rsidR="46B6D30C" w:rsidRPr="207DB868">
        <w:rPr>
          <w:rFonts w:ascii="Aptos" w:eastAsia="Aptos" w:hAnsi="Aptos" w:cs="Aptos"/>
          <w:color w:val="000000" w:themeColor="text1"/>
        </w:rPr>
        <w:t xml:space="preserve"> areas to survey for SLF.</w:t>
      </w:r>
    </w:p>
    <w:p w14:paraId="51571451" w14:textId="42A47D1A" w:rsidR="3D6AED5D" w:rsidRDefault="3D6AED5D" w:rsidP="49572639">
      <w:r w:rsidRPr="49572639">
        <w:rPr>
          <w:rFonts w:ascii="Aptos" w:eastAsia="Aptos" w:hAnsi="Aptos" w:cs="Aptos"/>
          <w:color w:val="000000" w:themeColor="text1"/>
        </w:rPr>
        <w:t>The included layers are</w:t>
      </w:r>
      <w:r w:rsidR="47F44506" w:rsidRPr="49572639">
        <w:rPr>
          <w:rFonts w:ascii="Aptos" w:eastAsia="Aptos" w:hAnsi="Aptos" w:cs="Aptos"/>
          <w:color w:val="000000" w:themeColor="text1"/>
        </w:rPr>
        <w:t>:</w:t>
      </w:r>
    </w:p>
    <w:p w14:paraId="4E288714" w14:textId="01C165B8" w:rsidR="3D6AED5D" w:rsidRDefault="3D6AED5D" w:rsidP="49572639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Establishment Risk: The ability of SLF to establish in each area on a scale from 0-10. See Huron et al. (2022) for the methodology to d</w:t>
      </w:r>
      <w:r w:rsidR="45592DA0" w:rsidRPr="49572639">
        <w:rPr>
          <w:rFonts w:ascii="Aptos" w:eastAsia="Aptos" w:hAnsi="Aptos" w:cs="Aptos"/>
          <w:color w:val="000000" w:themeColor="text1"/>
        </w:rPr>
        <w:t>etermine establishment risk</w:t>
      </w:r>
      <w:r w:rsidRPr="49572639">
        <w:rPr>
          <w:rFonts w:ascii="Aptos" w:eastAsia="Aptos" w:hAnsi="Aptos" w:cs="Aptos"/>
          <w:color w:val="000000" w:themeColor="text1"/>
        </w:rPr>
        <w:t xml:space="preserve"> </w:t>
      </w:r>
    </w:p>
    <w:p w14:paraId="5CF4D9C6" w14:textId="2BEF9FF6" w:rsidR="3D6AED5D" w:rsidRDefault="3D6AED5D" w:rsidP="49572639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Transport Risk</w:t>
      </w:r>
      <w:r w:rsidR="73285143" w:rsidRPr="49572639">
        <w:rPr>
          <w:rFonts w:ascii="Aptos" w:eastAsia="Aptos" w:hAnsi="Aptos" w:cs="Aptos"/>
          <w:color w:val="000000" w:themeColor="text1"/>
        </w:rPr>
        <w:t xml:space="preserve">: Represents to density of hubs </w:t>
      </w:r>
      <w:r w:rsidR="0E83CC7F" w:rsidRPr="49572639">
        <w:rPr>
          <w:rFonts w:ascii="Aptos" w:eastAsia="Aptos" w:hAnsi="Aptos" w:cs="Aptos"/>
          <w:color w:val="000000" w:themeColor="text1"/>
        </w:rPr>
        <w:t>in an</w:t>
      </w:r>
      <w:r w:rsidR="73285143" w:rsidRPr="49572639">
        <w:rPr>
          <w:rFonts w:ascii="Aptos" w:eastAsia="Aptos" w:hAnsi="Aptos" w:cs="Aptos"/>
          <w:color w:val="000000" w:themeColor="text1"/>
        </w:rPr>
        <w:t xml:space="preserve"> area</w:t>
      </w:r>
    </w:p>
    <w:p w14:paraId="55D45A9A" w14:textId="1C3868E2" w:rsidR="5535FE98" w:rsidRDefault="5535FE98" w:rsidP="43BBC2DA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 xml:space="preserve">1km </w:t>
      </w:r>
      <w:r w:rsidR="5BBC898E" w:rsidRPr="49572639">
        <w:rPr>
          <w:rFonts w:ascii="Aptos" w:eastAsia="Aptos" w:hAnsi="Aptos" w:cs="Aptos"/>
          <w:color w:val="000000" w:themeColor="text1"/>
        </w:rPr>
        <w:t>County S</w:t>
      </w:r>
      <w:r w:rsidRPr="49572639">
        <w:rPr>
          <w:rFonts w:ascii="Aptos" w:eastAsia="Aptos" w:hAnsi="Aptos" w:cs="Aptos"/>
          <w:color w:val="000000" w:themeColor="text1"/>
        </w:rPr>
        <w:t xml:space="preserve">urvey </w:t>
      </w:r>
      <w:r w:rsidR="5125698F" w:rsidRPr="49572639">
        <w:rPr>
          <w:rFonts w:ascii="Aptos" w:eastAsia="Aptos" w:hAnsi="Aptos" w:cs="Aptos"/>
          <w:color w:val="000000" w:themeColor="text1"/>
        </w:rPr>
        <w:t>G</w:t>
      </w:r>
      <w:r w:rsidRPr="49572639">
        <w:rPr>
          <w:rFonts w:ascii="Aptos" w:eastAsia="Aptos" w:hAnsi="Aptos" w:cs="Aptos"/>
          <w:color w:val="000000" w:themeColor="text1"/>
        </w:rPr>
        <w:t>rids</w:t>
      </w:r>
      <w:r w:rsidR="12534412" w:rsidRPr="49572639">
        <w:rPr>
          <w:rFonts w:ascii="Aptos" w:eastAsia="Aptos" w:hAnsi="Aptos" w:cs="Aptos"/>
          <w:color w:val="000000" w:themeColor="text1"/>
        </w:rPr>
        <w:t xml:space="preserve">: </w:t>
      </w:r>
      <w:r w:rsidR="6A7D2368" w:rsidRPr="49572639">
        <w:rPr>
          <w:rFonts w:ascii="Aptos" w:eastAsia="Aptos" w:hAnsi="Aptos" w:cs="Aptos"/>
          <w:color w:val="000000" w:themeColor="text1"/>
        </w:rPr>
        <w:t>Grids for each county at the 1km scale with standardized codes from the US National Grid to aid in survey efforts</w:t>
      </w:r>
    </w:p>
    <w:p w14:paraId="2657C20C" w14:textId="4D0AEBF9" w:rsidR="5535FE98" w:rsidRDefault="5535FE98" w:rsidP="43BBC2DA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Count</w:t>
      </w:r>
      <w:r w:rsidR="7CDC9127" w:rsidRPr="49572639">
        <w:rPr>
          <w:rFonts w:ascii="Aptos" w:eastAsia="Aptos" w:hAnsi="Aptos" w:cs="Aptos"/>
          <w:color w:val="000000" w:themeColor="text1"/>
        </w:rPr>
        <w:t>ies</w:t>
      </w:r>
      <w:r w:rsidRPr="49572639">
        <w:rPr>
          <w:rFonts w:ascii="Aptos" w:eastAsia="Aptos" w:hAnsi="Aptos" w:cs="Aptos"/>
          <w:color w:val="000000" w:themeColor="text1"/>
        </w:rPr>
        <w:t xml:space="preserve"> </w:t>
      </w:r>
      <w:r w:rsidR="172D7A7E" w:rsidRPr="49572639">
        <w:rPr>
          <w:rFonts w:ascii="Aptos" w:eastAsia="Aptos" w:hAnsi="Aptos" w:cs="Aptos"/>
          <w:color w:val="000000" w:themeColor="text1"/>
        </w:rPr>
        <w:t>O</w:t>
      </w:r>
      <w:r w:rsidRPr="49572639">
        <w:rPr>
          <w:rFonts w:ascii="Aptos" w:eastAsia="Aptos" w:hAnsi="Aptos" w:cs="Aptos"/>
          <w:color w:val="000000" w:themeColor="text1"/>
        </w:rPr>
        <w:t>utline</w:t>
      </w:r>
      <w:r w:rsidR="02B509E8" w:rsidRPr="49572639">
        <w:rPr>
          <w:rFonts w:ascii="Aptos" w:eastAsia="Aptos" w:hAnsi="Aptos" w:cs="Aptos"/>
          <w:color w:val="000000" w:themeColor="text1"/>
        </w:rPr>
        <w:t>: Outlines of the counties within a given area or state</w:t>
      </w:r>
    </w:p>
    <w:p w14:paraId="44B30E28" w14:textId="6AC7CA23" w:rsidR="5535FE98" w:rsidRDefault="5535FE98" w:rsidP="49572639">
      <w:pPr>
        <w:rPr>
          <w:rFonts w:ascii="Aptos" w:eastAsia="Aptos" w:hAnsi="Aptos" w:cs="Aptos"/>
          <w:color w:val="000000" w:themeColor="text1"/>
        </w:rPr>
      </w:pPr>
      <w:r w:rsidRPr="207DB868">
        <w:rPr>
          <w:rFonts w:ascii="Aptos" w:eastAsia="Aptos" w:hAnsi="Aptos" w:cs="Aptos"/>
          <w:color w:val="000000" w:themeColor="text1"/>
        </w:rPr>
        <w:t>Each layer requires raw data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. </w:t>
      </w:r>
      <w:r w:rsidR="701489CE" w:rsidRPr="207DB868">
        <w:rPr>
          <w:rFonts w:ascii="Aptos" w:eastAsia="Aptos" w:hAnsi="Aptos" w:cs="Aptos"/>
          <w:color w:val="000000" w:themeColor="text1"/>
        </w:rPr>
        <w:t>This example obtains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 all raw data from open sources.</w:t>
      </w:r>
      <w:r w:rsidR="0AD5D4F8" w:rsidRPr="207DB868">
        <w:rPr>
          <w:rFonts w:ascii="Aptos" w:eastAsia="Aptos" w:hAnsi="Aptos" w:cs="Aptos"/>
          <w:color w:val="000000" w:themeColor="text1"/>
        </w:rPr>
        <w:t xml:space="preserve"> 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 In step 3, the raw data will be cleaned and harmonized </w:t>
      </w:r>
      <w:r w:rsidR="0A48C9A4" w:rsidRPr="207DB868">
        <w:rPr>
          <w:rFonts w:ascii="Aptos" w:eastAsia="Aptos" w:hAnsi="Aptos" w:cs="Aptos"/>
          <w:color w:val="000000" w:themeColor="text1"/>
        </w:rPr>
        <w:t>to be displayed on the map.</w:t>
      </w:r>
    </w:p>
    <w:p w14:paraId="06179CC3" w14:textId="57754FE6" w:rsidR="5535FE98" w:rsidRDefault="5535FE98" w:rsidP="43BBC2DA">
      <w:p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Raw data sources</w:t>
      </w:r>
      <w:r w:rsidR="2509FA6B" w:rsidRPr="49572639">
        <w:rPr>
          <w:rFonts w:ascii="Aptos" w:eastAsia="Aptos" w:hAnsi="Aptos" w:cs="Aptos"/>
          <w:color w:val="000000" w:themeColor="text1"/>
        </w:rPr>
        <w:t>:</w:t>
      </w:r>
    </w:p>
    <w:p w14:paraId="7958D5F9" w14:textId="3F2E13E4" w:rsidR="363E88C1" w:rsidRDefault="363E88C1" w:rsidP="4957263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Establishment Risk:</w:t>
      </w:r>
    </w:p>
    <w:p w14:paraId="37E3BC7A" w14:textId="60389540" w:rsidR="363E88C1" w:rsidRDefault="363E88C1" w:rsidP="49572639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Source: Huron, N.A., Behm, J.E. &amp; Helmus, M.R. Paninvasion severity assessment of a U.S. grape pest to disrupt the global wine market. </w:t>
      </w:r>
      <w:r w:rsidRPr="49572639">
        <w:rPr>
          <w:rFonts w:ascii="Segoe UI" w:eastAsia="Segoe UI" w:hAnsi="Segoe UI" w:cs="Segoe UI"/>
          <w:i/>
          <w:iCs/>
          <w:color w:val="222222"/>
        </w:rPr>
        <w:t>Commun Biol</w:t>
      </w:r>
      <w:r w:rsidRPr="49572639">
        <w:rPr>
          <w:rFonts w:ascii="Segoe UI" w:eastAsia="Segoe UI" w:hAnsi="Segoe UI" w:cs="Segoe UI"/>
          <w:color w:val="222222"/>
        </w:rPr>
        <w:t xml:space="preserve"> </w:t>
      </w:r>
      <w:r w:rsidRPr="49572639">
        <w:rPr>
          <w:rFonts w:ascii="Segoe UI" w:eastAsia="Segoe UI" w:hAnsi="Segoe UI" w:cs="Segoe UI"/>
          <w:b/>
          <w:bCs/>
          <w:color w:val="222222"/>
        </w:rPr>
        <w:t>5</w:t>
      </w:r>
      <w:r w:rsidRPr="49572639">
        <w:rPr>
          <w:rFonts w:ascii="Segoe UI" w:eastAsia="Segoe UI" w:hAnsi="Segoe UI" w:cs="Segoe UI"/>
          <w:color w:val="222222"/>
        </w:rPr>
        <w:t xml:space="preserve">, 655 (2022). </w:t>
      </w:r>
      <w:hyperlink r:id="rId8">
        <w:r w:rsidRPr="49572639">
          <w:rPr>
            <w:rStyle w:val="Hyperlink"/>
          </w:rPr>
          <w:t>https://doi.org/10.1038/s42003-022-03580-w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p w14:paraId="1FAA16A9" w14:textId="5E3B9E32" w:rsidR="363E88C1" w:rsidRDefault="363E88C1" w:rsidP="49572639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Data: </w:t>
      </w:r>
      <w:hyperlink r:id="rId9">
        <w:r w:rsidRPr="49572639">
          <w:rPr>
            <w:rStyle w:val="Hyperlink"/>
          </w:rPr>
          <w:t>https://datadryad.org/stash/dataset/doi:10.5061/dryad.msbcc2g1b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p w14:paraId="52EE324B" w14:textId="5DD5F844" w:rsidR="363E88C1" w:rsidRPr="00790772" w:rsidRDefault="00000000" w:rsidP="49572639">
      <w:pPr>
        <w:pStyle w:val="ListParagraph"/>
        <w:numPr>
          <w:ilvl w:val="2"/>
          <w:numId w:val="1"/>
        </w:numPr>
        <w:rPr>
          <w:rStyle w:val="Hyperlink"/>
          <w:rFonts w:ascii="Segoe UI" w:eastAsia="Segoe UI" w:hAnsi="Segoe UI" w:cs="Segoe UI"/>
          <w:color w:val="222222"/>
          <w:u w:val="none"/>
        </w:rPr>
      </w:pPr>
      <w:hyperlink r:id="rId10">
        <w:r w:rsidR="363E88C1" w:rsidRPr="49572639">
          <w:rPr>
            <w:rStyle w:val="Hyperlink"/>
          </w:rPr>
          <w:t>slftoh_ensemble_mean.tif</w:t>
        </w:r>
      </w:hyperlink>
    </w:p>
    <w:p w14:paraId="5A453556" w14:textId="4EFB5A49" w:rsidR="00790772" w:rsidRPr="00790772" w:rsidRDefault="00790772" w:rsidP="00790772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>
        <w:rPr>
          <w:rFonts w:ascii="Segoe UI" w:eastAsia="Segoe UI" w:hAnsi="Segoe UI" w:cs="Segoe UI"/>
          <w:color w:val="222222"/>
        </w:rPr>
        <w:t xml:space="preserve">Note: For this example, the raw </w:t>
      </w:r>
      <w:r w:rsidR="00A71D61">
        <w:rPr>
          <w:rFonts w:ascii="Segoe UI" w:eastAsia="Segoe UI" w:hAnsi="Segoe UI" w:cs="Segoe UI"/>
          <w:color w:val="222222"/>
        </w:rPr>
        <w:t>establishment risk tif has been cropped to Pennsylvania to reduce the size of the file</w:t>
      </w:r>
    </w:p>
    <w:p w14:paraId="50472CE2" w14:textId="461F9078" w:rsidR="363E88C1" w:rsidRDefault="363E88C1" w:rsidP="4957263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Transport Risk:</w:t>
      </w:r>
      <w:r w:rsidR="0F2D49F7" w:rsidRPr="49572639">
        <w:rPr>
          <w:rFonts w:ascii="Aptos" w:eastAsia="Aptos" w:hAnsi="Aptos" w:cs="Aptos"/>
          <w:color w:val="000000" w:themeColor="text1"/>
        </w:rPr>
        <w:t xml:space="preserve"> </w:t>
      </w:r>
    </w:p>
    <w:p w14:paraId="416D95C9" w14:textId="6E3AEC08" w:rsidR="5A44F88A" w:rsidRDefault="5A44F88A" w:rsidP="49572639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See 2A. Obtain Hub Data</w:t>
      </w:r>
    </w:p>
    <w:p w14:paraId="0F776BBF" w14:textId="63345FD0" w:rsidR="5535FE98" w:rsidRDefault="5535FE98" w:rsidP="43BBC2DA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1km Grids</w:t>
      </w:r>
    </w:p>
    <w:p w14:paraId="4F9BA506" w14:textId="55C13070" w:rsidR="506C327C" w:rsidRDefault="506C327C" w:rsidP="43BBC2D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 xml:space="preserve">Source: </w:t>
      </w:r>
      <w:r w:rsidR="5535FE98" w:rsidRPr="49572639">
        <w:rPr>
          <w:rFonts w:ascii="Aptos" w:eastAsia="Aptos" w:hAnsi="Aptos" w:cs="Aptos"/>
          <w:color w:val="000000" w:themeColor="text1"/>
        </w:rPr>
        <w:t>US National Grid (USNG) information center</w:t>
      </w:r>
    </w:p>
    <w:p w14:paraId="10DDF054" w14:textId="1429AFA6" w:rsidR="5535FE98" w:rsidRDefault="6B016669" w:rsidP="43BBC2D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t xml:space="preserve">Data: </w:t>
      </w:r>
      <w:hyperlink r:id="rId11">
        <w:r w:rsidR="5535FE98" w:rsidRPr="49572639">
          <w:rPr>
            <w:rStyle w:val="Hyperlink"/>
          </w:rPr>
          <w:t>https://usngcenter.org/portfolio-item/usng-gis-data/</w:t>
        </w:r>
      </w:hyperlink>
      <w:r w:rsidR="5535FE98" w:rsidRPr="49572639">
        <w:rPr>
          <w:rFonts w:ascii="Aptos" w:eastAsia="Aptos" w:hAnsi="Aptos" w:cs="Aptos"/>
          <w:color w:val="000000" w:themeColor="text1"/>
        </w:rPr>
        <w:t xml:space="preserve"> </w:t>
      </w:r>
    </w:p>
    <w:p w14:paraId="6BE585EF" w14:textId="051F637A" w:rsidR="0C0657EC" w:rsidRDefault="0C0657EC" w:rsidP="43BBC2DA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Count</w:t>
      </w:r>
      <w:r w:rsidR="7C8D97A8" w:rsidRPr="49572639">
        <w:rPr>
          <w:rFonts w:ascii="Segoe UI" w:eastAsia="Segoe UI" w:hAnsi="Segoe UI" w:cs="Segoe UI"/>
          <w:color w:val="222222"/>
        </w:rPr>
        <w:t>ies</w:t>
      </w:r>
      <w:r w:rsidRPr="49572639">
        <w:rPr>
          <w:rFonts w:ascii="Segoe UI" w:eastAsia="Segoe UI" w:hAnsi="Segoe UI" w:cs="Segoe UI"/>
          <w:color w:val="222222"/>
        </w:rPr>
        <w:t xml:space="preserve"> Outline</w:t>
      </w:r>
    </w:p>
    <w:p w14:paraId="5DDF4893" w14:textId="0B2D9D6E" w:rsidR="0C0657EC" w:rsidRDefault="2C975B64" w:rsidP="43BBC2DA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Source</w:t>
      </w:r>
      <w:r w:rsidR="0C0657EC" w:rsidRPr="49572639">
        <w:rPr>
          <w:rFonts w:ascii="Segoe UI" w:eastAsia="Segoe UI" w:hAnsi="Segoe UI" w:cs="Segoe UI"/>
          <w:color w:val="222222"/>
        </w:rPr>
        <w:t xml:space="preserve">: </w:t>
      </w:r>
      <w:hyperlink r:id="rId12">
        <w:r w:rsidR="0C0657EC" w:rsidRPr="49572639">
          <w:rPr>
            <w:rStyle w:val="Hyperlink"/>
            <w:rFonts w:ascii="Segoe UI" w:eastAsia="Segoe UI" w:hAnsi="Segoe UI" w:cs="Segoe UI"/>
          </w:rPr>
          <w:t>tigris package in R</w:t>
        </w:r>
      </w:hyperlink>
    </w:p>
    <w:p w14:paraId="0CE83B44" w14:textId="33DA9E37" w:rsidR="78CD9AA2" w:rsidRDefault="78CD9AA2" w:rsidP="49572639">
      <w:pPr>
        <w:pStyle w:val="ListParagraph"/>
        <w:numPr>
          <w:ilvl w:val="1"/>
          <w:numId w:val="1"/>
        </w:numPr>
      </w:pPr>
      <w:r>
        <w:lastRenderedPageBreak/>
        <w:t xml:space="preserve">Data: </w:t>
      </w:r>
      <w:r w:rsidR="00790772">
        <w:t>tigris::counties() – see step 3B</w:t>
      </w:r>
    </w:p>
    <w:p w14:paraId="132F8B98" w14:textId="337B6744" w:rsidR="00790772" w:rsidRDefault="00790772" w:rsidP="00790772">
      <w:pPr>
        <w:pStyle w:val="ListParagraph"/>
        <w:numPr>
          <w:ilvl w:val="0"/>
          <w:numId w:val="1"/>
        </w:numPr>
      </w:pPr>
      <w:r>
        <w:t>State Outline</w:t>
      </w:r>
    </w:p>
    <w:p w14:paraId="0FD3C5AD" w14:textId="77777777" w:rsidR="00790772" w:rsidRDefault="00790772" w:rsidP="00790772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Source: </w:t>
      </w:r>
      <w:hyperlink r:id="rId13">
        <w:r w:rsidRPr="49572639">
          <w:rPr>
            <w:rStyle w:val="Hyperlink"/>
            <w:rFonts w:ascii="Segoe UI" w:eastAsia="Segoe UI" w:hAnsi="Segoe UI" w:cs="Segoe UI"/>
          </w:rPr>
          <w:t>tigris package in R</w:t>
        </w:r>
      </w:hyperlink>
    </w:p>
    <w:p w14:paraId="3DD9E7F2" w14:textId="7DB186BD" w:rsidR="00790772" w:rsidRDefault="00790772" w:rsidP="00790772">
      <w:pPr>
        <w:pStyle w:val="ListParagraph"/>
        <w:numPr>
          <w:ilvl w:val="1"/>
          <w:numId w:val="1"/>
        </w:numPr>
      </w:pPr>
      <w:r>
        <w:t>Data: tigris::</w:t>
      </w:r>
      <w:r>
        <w:t>states</w:t>
      </w:r>
      <w:r>
        <w:t>() – see step 3B</w:t>
      </w:r>
    </w:p>
    <w:p w14:paraId="4B7105A8" w14:textId="0EF9DA2D" w:rsidR="0C0657EC" w:rsidRDefault="0C0657EC" w:rsidP="43BBC2DA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Subcount</w:t>
      </w:r>
      <w:r w:rsidR="2A3A26AF" w:rsidRPr="49572639">
        <w:rPr>
          <w:rFonts w:ascii="Segoe UI" w:eastAsia="Segoe UI" w:hAnsi="Segoe UI" w:cs="Segoe UI"/>
          <w:color w:val="222222"/>
        </w:rPr>
        <w:t>ies</w:t>
      </w:r>
      <w:r w:rsidRPr="49572639">
        <w:rPr>
          <w:rFonts w:ascii="Segoe UI" w:eastAsia="Segoe UI" w:hAnsi="Segoe UI" w:cs="Segoe UI"/>
          <w:color w:val="222222"/>
        </w:rPr>
        <w:t xml:space="preserve"> </w:t>
      </w:r>
      <w:r w:rsidR="43AFF9B7" w:rsidRPr="49572639">
        <w:rPr>
          <w:rFonts w:ascii="Segoe UI" w:eastAsia="Segoe UI" w:hAnsi="Segoe UI" w:cs="Segoe UI"/>
          <w:color w:val="222222"/>
        </w:rPr>
        <w:t>O</w:t>
      </w:r>
      <w:r w:rsidRPr="49572639">
        <w:rPr>
          <w:rFonts w:ascii="Segoe UI" w:eastAsia="Segoe UI" w:hAnsi="Segoe UI" w:cs="Segoe UI"/>
          <w:color w:val="222222"/>
        </w:rPr>
        <w:t>utline</w:t>
      </w:r>
    </w:p>
    <w:p w14:paraId="50E83B1F" w14:textId="2C569C22" w:rsidR="0C0657EC" w:rsidRDefault="0C0657EC" w:rsidP="43BBC2DA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Source: TIGER/Line shapefiles on data.gov</w:t>
      </w:r>
    </w:p>
    <w:p w14:paraId="3FE3BA01" w14:textId="35CE25B1" w:rsidR="43BBC2DA" w:rsidRDefault="0C0657EC" w:rsidP="00790772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Segoe UI" w:eastAsia="Segoe UI" w:hAnsi="Segoe UI" w:cs="Segoe UI"/>
          <w:color w:val="222222"/>
        </w:rPr>
        <w:t xml:space="preserve">Data (PA): </w:t>
      </w:r>
      <w:hyperlink r:id="rId14">
        <w:r w:rsidRPr="49572639">
          <w:rPr>
            <w:rStyle w:val="Hyperlink"/>
          </w:rPr>
          <w:t>https://catalog.data.gov/dataset/tiger-line-shapefile-2019-state-pennsylvania-current-county-subdivision-state-based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sectPr w:rsidR="43BBC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/IxxzHfIeaMd7" int2:id="q84bBdJ8">
      <int2:state int2:value="Rejected" int2:type="AugLoop_Text_Critique"/>
    </int2:textHash>
    <int2:textHash int2:hashCode="awpx3bkx41x3+S" int2:id="7eQ5kf5j">
      <int2:state int2:value="Rejected" int2:type="AugLoop_Text_Critique"/>
    </int2:textHash>
    <int2:textHash int2:hashCode="EG4EklOMQiyzPh" int2:id="HoKUayz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FC5"/>
    <w:multiLevelType w:val="hybridMultilevel"/>
    <w:tmpl w:val="58A88A40"/>
    <w:lvl w:ilvl="0" w:tplc="4AFA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66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E4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88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A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0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46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6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FC06"/>
    <w:multiLevelType w:val="hybridMultilevel"/>
    <w:tmpl w:val="5F584D76"/>
    <w:lvl w:ilvl="0" w:tplc="21BEE95E">
      <w:start w:val="1"/>
      <w:numFmt w:val="decimal"/>
      <w:lvlText w:val="%1."/>
      <w:lvlJc w:val="left"/>
      <w:pPr>
        <w:ind w:left="720" w:hanging="360"/>
      </w:pPr>
    </w:lvl>
    <w:lvl w:ilvl="1" w:tplc="6C0CA020">
      <w:start w:val="1"/>
      <w:numFmt w:val="lowerLetter"/>
      <w:lvlText w:val="%2."/>
      <w:lvlJc w:val="left"/>
      <w:pPr>
        <w:ind w:left="1440" w:hanging="360"/>
      </w:pPr>
    </w:lvl>
    <w:lvl w:ilvl="2" w:tplc="89109088">
      <w:start w:val="1"/>
      <w:numFmt w:val="lowerRoman"/>
      <w:lvlText w:val="%3."/>
      <w:lvlJc w:val="right"/>
      <w:pPr>
        <w:ind w:left="2160" w:hanging="180"/>
      </w:pPr>
    </w:lvl>
    <w:lvl w:ilvl="3" w:tplc="54F247A0">
      <w:start w:val="1"/>
      <w:numFmt w:val="decimal"/>
      <w:lvlText w:val="%4."/>
      <w:lvlJc w:val="left"/>
      <w:pPr>
        <w:ind w:left="2880" w:hanging="360"/>
      </w:pPr>
    </w:lvl>
    <w:lvl w:ilvl="4" w:tplc="28745B20">
      <w:start w:val="1"/>
      <w:numFmt w:val="lowerLetter"/>
      <w:lvlText w:val="%5."/>
      <w:lvlJc w:val="left"/>
      <w:pPr>
        <w:ind w:left="3600" w:hanging="360"/>
      </w:pPr>
    </w:lvl>
    <w:lvl w:ilvl="5" w:tplc="40C66B50">
      <w:start w:val="1"/>
      <w:numFmt w:val="lowerRoman"/>
      <w:lvlText w:val="%6."/>
      <w:lvlJc w:val="right"/>
      <w:pPr>
        <w:ind w:left="4320" w:hanging="180"/>
      </w:pPr>
    </w:lvl>
    <w:lvl w:ilvl="6" w:tplc="5C6E72EA">
      <w:start w:val="1"/>
      <w:numFmt w:val="decimal"/>
      <w:lvlText w:val="%7."/>
      <w:lvlJc w:val="left"/>
      <w:pPr>
        <w:ind w:left="5040" w:hanging="360"/>
      </w:pPr>
    </w:lvl>
    <w:lvl w:ilvl="7" w:tplc="FF2A9CF0">
      <w:start w:val="1"/>
      <w:numFmt w:val="lowerLetter"/>
      <w:lvlText w:val="%8."/>
      <w:lvlJc w:val="left"/>
      <w:pPr>
        <w:ind w:left="5760" w:hanging="360"/>
      </w:pPr>
    </w:lvl>
    <w:lvl w:ilvl="8" w:tplc="1AF80210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08764">
    <w:abstractNumId w:val="1"/>
  </w:num>
  <w:num w:numId="2" w16cid:durableId="111733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2A78A"/>
    <w:rsid w:val="002565C6"/>
    <w:rsid w:val="00575312"/>
    <w:rsid w:val="00790772"/>
    <w:rsid w:val="00A71D61"/>
    <w:rsid w:val="00C76CAB"/>
    <w:rsid w:val="02B509E8"/>
    <w:rsid w:val="03BD21F8"/>
    <w:rsid w:val="08E2A78A"/>
    <w:rsid w:val="09333B71"/>
    <w:rsid w:val="0A48C9A4"/>
    <w:rsid w:val="0AD29551"/>
    <w:rsid w:val="0AD5D4F8"/>
    <w:rsid w:val="0C0657EC"/>
    <w:rsid w:val="0C218F4F"/>
    <w:rsid w:val="0E83CC7F"/>
    <w:rsid w:val="0F2D49F7"/>
    <w:rsid w:val="0FB8F630"/>
    <w:rsid w:val="117C6EF3"/>
    <w:rsid w:val="12534412"/>
    <w:rsid w:val="12BD0F72"/>
    <w:rsid w:val="14B74683"/>
    <w:rsid w:val="172D7A7E"/>
    <w:rsid w:val="1CB62650"/>
    <w:rsid w:val="1E30F175"/>
    <w:rsid w:val="1F328277"/>
    <w:rsid w:val="207DB868"/>
    <w:rsid w:val="20B7715C"/>
    <w:rsid w:val="20C57A7E"/>
    <w:rsid w:val="2150DB7C"/>
    <w:rsid w:val="21D34D5C"/>
    <w:rsid w:val="24D51E70"/>
    <w:rsid w:val="2509FA6B"/>
    <w:rsid w:val="251EBB40"/>
    <w:rsid w:val="252554C8"/>
    <w:rsid w:val="2A086D26"/>
    <w:rsid w:val="2A3A26AF"/>
    <w:rsid w:val="2AF12C52"/>
    <w:rsid w:val="2B5E4FE4"/>
    <w:rsid w:val="2BAE34BB"/>
    <w:rsid w:val="2BF9A3B7"/>
    <w:rsid w:val="2C975B64"/>
    <w:rsid w:val="2EEBB760"/>
    <w:rsid w:val="3069F82E"/>
    <w:rsid w:val="317A4677"/>
    <w:rsid w:val="31991172"/>
    <w:rsid w:val="33C652B0"/>
    <w:rsid w:val="363E88C1"/>
    <w:rsid w:val="37A0A5FD"/>
    <w:rsid w:val="390E0127"/>
    <w:rsid w:val="3B75DE51"/>
    <w:rsid w:val="3C831972"/>
    <w:rsid w:val="3D167A6F"/>
    <w:rsid w:val="3D643E00"/>
    <w:rsid w:val="3D6AED5D"/>
    <w:rsid w:val="3E9AC0D9"/>
    <w:rsid w:val="3EA89939"/>
    <w:rsid w:val="42262FB6"/>
    <w:rsid w:val="43AC9F16"/>
    <w:rsid w:val="43AFF9B7"/>
    <w:rsid w:val="43BBC2DA"/>
    <w:rsid w:val="45592DA0"/>
    <w:rsid w:val="46B6D30C"/>
    <w:rsid w:val="47F44506"/>
    <w:rsid w:val="49572639"/>
    <w:rsid w:val="4AA5FAF3"/>
    <w:rsid w:val="4CCE5B3B"/>
    <w:rsid w:val="4D64D384"/>
    <w:rsid w:val="4D826346"/>
    <w:rsid w:val="4FD13257"/>
    <w:rsid w:val="506C327C"/>
    <w:rsid w:val="5125698F"/>
    <w:rsid w:val="51BA86E5"/>
    <w:rsid w:val="529B3390"/>
    <w:rsid w:val="52ACDBAA"/>
    <w:rsid w:val="5535FE98"/>
    <w:rsid w:val="55C0F222"/>
    <w:rsid w:val="5A44F88A"/>
    <w:rsid w:val="5BBC898E"/>
    <w:rsid w:val="5BCACDB8"/>
    <w:rsid w:val="5EC57227"/>
    <w:rsid w:val="5F51B21F"/>
    <w:rsid w:val="6755C6A3"/>
    <w:rsid w:val="67A56D02"/>
    <w:rsid w:val="690B8EF0"/>
    <w:rsid w:val="6A2CD0C8"/>
    <w:rsid w:val="6A7D2368"/>
    <w:rsid w:val="6AA795DE"/>
    <w:rsid w:val="6ADA50F6"/>
    <w:rsid w:val="6B016669"/>
    <w:rsid w:val="6D06DABC"/>
    <w:rsid w:val="6D7FC7D8"/>
    <w:rsid w:val="6F27870D"/>
    <w:rsid w:val="701489CE"/>
    <w:rsid w:val="72F5954C"/>
    <w:rsid w:val="73285143"/>
    <w:rsid w:val="73641DC1"/>
    <w:rsid w:val="74C469C3"/>
    <w:rsid w:val="75EDA7C2"/>
    <w:rsid w:val="764E2AFA"/>
    <w:rsid w:val="76A82BC6"/>
    <w:rsid w:val="77967B73"/>
    <w:rsid w:val="7882C0AD"/>
    <w:rsid w:val="7897691E"/>
    <w:rsid w:val="78CD9AA2"/>
    <w:rsid w:val="7C8D97A8"/>
    <w:rsid w:val="7CDC9127"/>
    <w:rsid w:val="7D146434"/>
    <w:rsid w:val="7E98C41A"/>
    <w:rsid w:val="7F7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78A"/>
  <w15:chartTrackingRefBased/>
  <w15:docId w15:val="{ED12314D-405F-4D80-9331-5AD244E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2003-022-03580-w" TargetMode="External"/><Relationship Id="rId13" Type="http://schemas.openxmlformats.org/officeDocument/2006/relationships/hyperlink" Target="https://cran.r-project.org/web/packages/tigris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an.r-project.org/web/packages/tigris/index.html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ngcenter.org/portfolio-item/usng-gis-dat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atadryad.org/stash/downloads/file_stream/152747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dryad.org/stash/dataset/doi:10.5061/dryad.msbcc2g1b" TargetMode="External"/><Relationship Id="rId14" Type="http://schemas.openxmlformats.org/officeDocument/2006/relationships/hyperlink" Target="https://catalog.data.gov/dataset/tiger-line-shapefile-2019-state-pennsylvania-current-county-subdivision-state-ba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5DD84-1BE4-4CE9-8017-BE02AAED78B1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2.xml><?xml version="1.0" encoding="utf-8"?>
<ds:datastoreItem xmlns:ds="http://schemas.openxmlformats.org/officeDocument/2006/customXml" ds:itemID="{E5F0D581-C213-4147-A75F-9CB75F612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5CD790-4D48-4735-A226-0D0FB8B990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6</cp:revision>
  <dcterms:created xsi:type="dcterms:W3CDTF">2024-04-25T15:28:00Z</dcterms:created>
  <dcterms:modified xsi:type="dcterms:W3CDTF">2024-05-31T19:28:00Z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